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A"/>
          <w:sz w:val="22"/>
          <w:szCs w:val="22"/>
        </w:rPr>
      </w:pPr>
      <w:bookmarkStart w:id="0" w:name="dxkzfl9orqet" w:colFirst="0" w:colLast="0"/>
      <w:bookmarkEnd w:id="0"/>
      <w:r>
        <w:rPr>
          <w:rFonts w:ascii="Arial" w:eastAsia="Arial" w:hAnsi="Arial" w:cs="Arial"/>
          <w:color w:val="00000A"/>
          <w:sz w:val="22"/>
          <w:szCs w:val="22"/>
        </w:rPr>
        <w:t>PARLAMENT ČESKÉ REPUBLIKY</w:t>
      </w:r>
    </w:p>
    <w:p w14:paraId="00000002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Poslanecká sněmovna</w:t>
      </w:r>
    </w:p>
    <w:p w14:paraId="00000003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2026</w:t>
      </w:r>
    </w:p>
    <w:p w14:paraId="00000004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10. volební období</w:t>
      </w:r>
    </w:p>
    <w:p w14:paraId="00000005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___________________________________________________________</w:t>
      </w:r>
    </w:p>
    <w:p w14:paraId="00000006" w14:textId="77777777" w:rsidR="00FF6563" w:rsidRDefault="00FF656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rFonts w:ascii="Arial" w:eastAsia="Arial" w:hAnsi="Arial" w:cs="Arial"/>
          <w:color w:val="00000A"/>
          <w:sz w:val="22"/>
          <w:szCs w:val="22"/>
        </w:rPr>
      </w:pPr>
    </w:p>
    <w:p w14:paraId="00000007" w14:textId="77777777" w:rsidR="00FF6563" w:rsidRDefault="00815CD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b/>
          <w:bCs/>
          <w:color w:val="00000A"/>
          <w:sz w:val="22"/>
          <w:szCs w:val="22"/>
        </w:rPr>
        <w:t xml:space="preserve">Pozměňovací návrh poslankyně Ing. Marie </w:t>
      </w:r>
      <w:proofErr w:type="spellStart"/>
      <w:r>
        <w:rPr>
          <w:rFonts w:ascii="Arial" w:eastAsia="Arial" w:hAnsi="Arial" w:cs="Arial"/>
          <w:b/>
          <w:bCs/>
          <w:color w:val="00000A"/>
          <w:sz w:val="22"/>
          <w:szCs w:val="22"/>
        </w:rPr>
        <w:t>Pošarové</w:t>
      </w:r>
      <w:proofErr w:type="spellEnd"/>
    </w:p>
    <w:p w14:paraId="00000008" w14:textId="77777777" w:rsidR="00FF6563" w:rsidRDefault="00815CD6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b/>
          <w:bCs/>
          <w:color w:val="00000A"/>
          <w:sz w:val="22"/>
          <w:szCs w:val="22"/>
        </w:rPr>
        <w:t xml:space="preserve">k návrhu poslanců Andreje Babiše, Karla Havlíčka, Tomia Okamury, Petra </w:t>
      </w:r>
      <w:proofErr w:type="spellStart"/>
      <w:r>
        <w:rPr>
          <w:rFonts w:ascii="Arial" w:eastAsia="Arial" w:hAnsi="Arial" w:cs="Arial"/>
          <w:b/>
          <w:bCs/>
          <w:color w:val="00000A"/>
          <w:sz w:val="22"/>
          <w:szCs w:val="22"/>
        </w:rPr>
        <w:t>Macinky</w:t>
      </w:r>
      <w:proofErr w:type="spellEnd"/>
      <w:r>
        <w:rPr>
          <w:rFonts w:ascii="Arial" w:eastAsia="Arial" w:hAnsi="Arial" w:cs="Arial"/>
          <w:b/>
          <w:bCs/>
          <w:color w:val="00000A"/>
          <w:sz w:val="22"/>
          <w:szCs w:val="22"/>
        </w:rPr>
        <w:t xml:space="preserve">, Aleny Schillerové, Zuzany Schwarz Bařtipánové, Radima Fialy, Borise Šťastného, Vojtěcha </w:t>
      </w:r>
      <w:proofErr w:type="spellStart"/>
      <w:r>
        <w:rPr>
          <w:rFonts w:ascii="Arial" w:eastAsia="Arial" w:hAnsi="Arial" w:cs="Arial"/>
          <w:b/>
          <w:bCs/>
          <w:color w:val="00000A"/>
          <w:sz w:val="22"/>
          <w:szCs w:val="22"/>
        </w:rPr>
        <w:t>Krňanského</w:t>
      </w:r>
      <w:proofErr w:type="spellEnd"/>
      <w:r>
        <w:rPr>
          <w:rFonts w:ascii="Arial" w:eastAsia="Arial" w:hAnsi="Arial" w:cs="Arial"/>
          <w:b/>
          <w:bCs/>
          <w:color w:val="00000A"/>
          <w:sz w:val="22"/>
          <w:szCs w:val="22"/>
        </w:rPr>
        <w:t xml:space="preserve"> a Marie </w:t>
      </w:r>
      <w:proofErr w:type="spellStart"/>
      <w:r>
        <w:rPr>
          <w:rFonts w:ascii="Arial" w:eastAsia="Arial" w:hAnsi="Arial" w:cs="Arial"/>
          <w:b/>
          <w:bCs/>
          <w:color w:val="00000A"/>
          <w:sz w:val="22"/>
          <w:szCs w:val="22"/>
        </w:rPr>
        <w:t>Pošarové</w:t>
      </w:r>
      <w:proofErr w:type="spellEnd"/>
      <w:r>
        <w:rPr>
          <w:rFonts w:ascii="Arial" w:eastAsia="Arial" w:hAnsi="Arial" w:cs="Arial"/>
          <w:b/>
          <w:bCs/>
          <w:color w:val="00000A"/>
          <w:sz w:val="22"/>
          <w:szCs w:val="22"/>
        </w:rPr>
        <w:t xml:space="preserve"> na vydání zákona, kterým se mění zákon č. 283/2021 Sb., stavební zákon, ve znění pozdějších předpisů, a některé další související zákony</w:t>
      </w:r>
    </w:p>
    <w:p w14:paraId="00000009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before="280" w:after="280"/>
        <w:jc w:val="center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b/>
          <w:bCs/>
          <w:color w:val="00000A"/>
          <w:sz w:val="22"/>
          <w:szCs w:val="22"/>
        </w:rPr>
        <w:t xml:space="preserve">VE ZNĚNÍ KOMPLEXNÍHO POZMĚŇOVACÍHO NÁVRHU </w:t>
      </w:r>
    </w:p>
    <w:p w14:paraId="0000000A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before="280" w:after="280"/>
        <w:jc w:val="center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b/>
          <w:bCs/>
          <w:color w:val="00000A"/>
          <w:sz w:val="22"/>
          <w:szCs w:val="22"/>
        </w:rPr>
        <w:t>(sněmovní tisk č. 67/10)</w:t>
      </w:r>
    </w:p>
    <w:p w14:paraId="0000000B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al" w:eastAsia="Arial" w:hAnsi="Arial" w:cs="Arial"/>
          <w:color w:val="00000A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0A"/>
          <w:sz w:val="22"/>
          <w:szCs w:val="22"/>
          <w:u w:val="single"/>
        </w:rPr>
        <w:t>Navrhovaná změna:</w:t>
      </w:r>
    </w:p>
    <w:p w14:paraId="0000000C" w14:textId="77777777" w:rsidR="00FF6563" w:rsidRDefault="00815C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ind w:left="567" w:hanging="567"/>
        <w:jc w:val="both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V ČÁSTI OSMÉ Změna zákona o ochraně přírody a krajiny se v čl. XIII za novelizační bod 167 se vkládá nový novelizační bod 168, který zní:</w:t>
      </w:r>
    </w:p>
    <w:p w14:paraId="0000000D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134" w:hanging="567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„168.</w:t>
      </w:r>
      <w:r>
        <w:rPr>
          <w:rFonts w:ascii="Arial" w:eastAsia="Arial" w:hAnsi="Arial" w:cs="Arial"/>
          <w:color w:val="00000A"/>
          <w:sz w:val="22"/>
          <w:szCs w:val="22"/>
        </w:rPr>
        <w:tab/>
        <w:t>V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§ 82a se odstavec 3 zrušuje.“.</w:t>
      </w:r>
    </w:p>
    <w:p w14:paraId="0000000E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567"/>
        <w:jc w:val="both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Stávající novelizační body 168 až 211 se nově označují jako novelizační body 169 až 212.</w:t>
      </w:r>
    </w:p>
    <w:p w14:paraId="0000000F" w14:textId="77777777" w:rsidR="00FF6563" w:rsidRDefault="00815C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ind w:left="567" w:hanging="567"/>
        <w:jc w:val="both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 xml:space="preserve">V ČÁSTI TŘICÁTÉ Změna vodního zákona se v čl.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XLIV</w:t>
      </w:r>
      <w:r>
        <w:rPr>
          <w:rFonts w:ascii="Arial" w:eastAsia="Arial" w:hAnsi="Arial" w:cs="Arial"/>
          <w:color w:val="00000A"/>
          <w:sz w:val="22"/>
          <w:szCs w:val="22"/>
        </w:rPr>
        <w:t xml:space="preserve"> za novelizační bod 12 vkládá nový novelizační bod 13, který zní:</w:t>
      </w:r>
    </w:p>
    <w:p w14:paraId="00000010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1134" w:hanging="567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„13.</w:t>
      </w:r>
      <w:r>
        <w:rPr>
          <w:rFonts w:ascii="Arial" w:eastAsia="Arial" w:hAnsi="Arial" w:cs="Arial"/>
          <w:color w:val="00000A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>V § 23b se odstavec 2 zrušuje a zároveň se zrušuje označení odstavce 1.</w:t>
      </w:r>
      <w:r>
        <w:rPr>
          <w:rFonts w:ascii="Arial" w:eastAsia="Arial" w:hAnsi="Arial" w:cs="Arial"/>
          <w:color w:val="00000A"/>
          <w:sz w:val="22"/>
          <w:szCs w:val="22"/>
        </w:rPr>
        <w:t>“.</w:t>
      </w:r>
    </w:p>
    <w:p w14:paraId="00000011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567"/>
        <w:jc w:val="both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Stávající novelizační body 13 až 50 se nově označují jako novelizační body 14 až 51.</w:t>
      </w:r>
    </w:p>
    <w:p w14:paraId="00000012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ind w:left="15"/>
        <w:jc w:val="both"/>
        <w:rPr>
          <w:rFonts w:ascii="Arial" w:eastAsia="Arial" w:hAnsi="Arial" w:cs="Arial"/>
          <w:color w:val="00000A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0A"/>
          <w:sz w:val="22"/>
          <w:szCs w:val="22"/>
          <w:u w:val="single"/>
        </w:rPr>
        <w:t>Odůvodnění:</w:t>
      </w:r>
    </w:p>
    <w:p w14:paraId="00000013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Poslední novela vodního zákona č. 182/2024 Sb. (tzv. havarijní novela, ST 569, 2024, IX. volební období) zavedla novými § 23b do vodního zákona a § 82a do zákona o ochraně přírody a krajiny tzv. vyvratitelnou domněnku převažujícího veřejného zájmu zahrnující plánování, výstavbu, modernizaci a provoz zařízení pro výrobu energie z obnovitelných zdrojů, jejich připojení k soustavě a dále související soustavu samotnou a skladovací zařízení. Ve všech těchto případech by se mělo v rámci vyhodnocování střetávající</w:t>
      </w:r>
      <w:r>
        <w:rPr>
          <w:rFonts w:ascii="Arial" w:eastAsia="Arial" w:hAnsi="Arial" w:cs="Arial"/>
          <w:color w:val="00000A"/>
          <w:sz w:val="22"/>
          <w:szCs w:val="22"/>
        </w:rPr>
        <w:t>ch se veřejných zájmů vycházet z toho, že uvedené činnosti jsou v převažujícím veřejném zájmu, a to až do doby, dokud se neprokáže opak.</w:t>
      </w:r>
    </w:p>
    <w:p w14:paraId="00000014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 xml:space="preserve">Bohužel se však uvedená vyvratitelná domněnka převažujícího veřejného zájmu neuplatní pro plánování a výstavbu malých vodních elektráren. Ačkoliv by se mělo jednat pouze o vyjmutí malých vodních elektráren z vyvratitelné domněnky převažujícího veřejného zájmu, praktické dopady jsou však takové, že příslušné úřady vykládají uvedenou úpravu tak, že na plánování a výstavbě malých vodních elektráren není veřejný zájem a není (s drobnými </w:t>
      </w:r>
      <w:r>
        <w:rPr>
          <w:rFonts w:ascii="Arial" w:eastAsia="Arial" w:hAnsi="Arial" w:cs="Arial"/>
          <w:color w:val="00000A"/>
          <w:sz w:val="22"/>
          <w:szCs w:val="22"/>
        </w:rPr>
        <w:lastRenderedPageBreak/>
        <w:t>výjimkami) v současné době možné prosadit jakoukoliv novou malou vodní elektrárnu ani na stávajících jezech.</w:t>
      </w:r>
    </w:p>
    <w:p w14:paraId="00000015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 xml:space="preserve">V České republice je aktuálně zhruba 5 000 existujících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hydroenergeticky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 xml:space="preserve"> nevyužitých vodních děl – stávajících </w:t>
      </w:r>
      <w:r>
        <w:rPr>
          <w:rFonts w:ascii="Arial" w:eastAsia="Arial" w:hAnsi="Arial" w:cs="Arial"/>
          <w:color w:val="000000"/>
          <w:sz w:val="22"/>
          <w:szCs w:val="22"/>
        </w:rPr>
        <w:t>jezů</w:t>
      </w:r>
      <w:r>
        <w:rPr>
          <w:rFonts w:ascii="Arial" w:eastAsia="Arial" w:hAnsi="Arial" w:cs="Arial"/>
          <w:color w:val="00000A"/>
          <w:sz w:val="22"/>
          <w:szCs w:val="22"/>
        </w:rPr>
        <w:t xml:space="preserve"> v korytech vodních toků, dle dat ERÚ za rok 2022 je pro provoz malých vodních elektráren využito 1 408 </w:t>
      </w:r>
      <w:r>
        <w:rPr>
          <w:rFonts w:ascii="Arial" w:eastAsia="Arial" w:hAnsi="Arial" w:cs="Arial"/>
          <w:color w:val="000000"/>
          <w:sz w:val="22"/>
          <w:szCs w:val="22"/>
        </w:rPr>
        <w:t>jezů</w:t>
      </w:r>
      <w:r>
        <w:rPr>
          <w:rFonts w:ascii="Arial" w:eastAsia="Arial" w:hAnsi="Arial" w:cs="Arial"/>
          <w:color w:val="00000A"/>
          <w:sz w:val="22"/>
          <w:szCs w:val="22"/>
        </w:rPr>
        <w:t xml:space="preserve"> ve vodních tocích. Historicky bylo využití o mnoho větší, např. Inventarizace hydroenergetických zdrojů z roku 1930 eviduje v tomto roce na území dnešní České republiky celkově 11 785 provozovaných zdrojů (F. Pažout, Malé vodní elektrárny, 1 SNTL: 1990, str. 326).</w:t>
      </w:r>
    </w:p>
    <w:p w14:paraId="00000016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Dosavadní využívání vodní energie bylo v ČR realizováno především ve výrobnách o celkovém instalovaném elektrickém výkonu do 1 MW (z celkového počtu MVE 1408 je 1179 s instalovaným výkonem do 1 MW, stav v roce 2022, zdroj dat ERÚ).</w:t>
      </w:r>
    </w:p>
    <w:p w14:paraId="00000017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 xml:space="preserve">Možnosti dalšího rozvoje vodní energetiky jsou v ČR postaveny především na využívání a rozvoji stávajících zdrojů energie vodního toku. Jejich výkonový potenciál má technický limit ve velikosti vodních toků a v profilu území ČR a umožňuje v naprosté většině realizovat zdroje o instalovaném výkonu do 1 MW. Zároveň však vodní energie poskytuje násobně vyšší objemy roční výroby elektrické energie v poměru ke svému instalovanému výkonu, ve srovnání s ostatními nepalivovými druhy OZE (výroba elektřiny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MWh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 xml:space="preserve">/1 MW instalovaného výkonu: voda 3110 </w:t>
      </w:r>
      <w:proofErr w:type="spellStart"/>
      <w:proofErr w:type="gramStart"/>
      <w:r>
        <w:rPr>
          <w:rFonts w:ascii="Arial" w:eastAsia="Arial" w:hAnsi="Arial" w:cs="Arial"/>
          <w:color w:val="00000A"/>
          <w:sz w:val="22"/>
          <w:szCs w:val="22"/>
        </w:rPr>
        <w:t>MWh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 xml:space="preserve"> ;</w:t>
      </w:r>
      <w:proofErr w:type="gramEnd"/>
      <w:r>
        <w:rPr>
          <w:rFonts w:ascii="Arial" w:eastAsia="Arial" w:hAnsi="Arial" w:cs="Arial"/>
          <w:color w:val="00000A"/>
          <w:sz w:val="22"/>
          <w:szCs w:val="22"/>
        </w:rPr>
        <w:t xml:space="preserve"> vítr 1860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MWh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 xml:space="preserve"> ; slunce 1020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MWh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>. Zdroj dat OTE a.s. Statistika POZE rok 2022).</w:t>
      </w:r>
    </w:p>
    <w:p w14:paraId="00000018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Nadto sektor využívání vodní energie je v rámci ČR v oblasti technického vývoje, inovací a dodavatelských kapacit v oboru stavebních a strojně a elektrotechnologických celků plně soběstačný a jeho další rozvoj přinese pozitivní sekundární přínosy do těchto průmyslových sfér.</w:t>
      </w:r>
    </w:p>
    <w:p w14:paraId="00000019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 xml:space="preserve">Není zřejmé, proč byly plánování a výstavba malých vodních elektráren vyloučeny z vyvratitelné domněnky převažujícího veřejného zájmu a diskriminovány v rámci ostatních obnovitelných zdrojů v České republice. V naprosté většině se jedná o využití již existujících historických lokalit (zdrojů), a není nutné budovat nové </w:t>
      </w:r>
      <w:r>
        <w:rPr>
          <w:rFonts w:ascii="Arial" w:eastAsia="Arial" w:hAnsi="Arial" w:cs="Arial"/>
          <w:color w:val="000000"/>
          <w:sz w:val="22"/>
          <w:szCs w:val="22"/>
        </w:rPr>
        <w:t>jezy</w:t>
      </w:r>
      <w:r>
        <w:rPr>
          <w:rFonts w:ascii="Arial" w:eastAsia="Arial" w:hAnsi="Arial" w:cs="Arial"/>
          <w:color w:val="00000A"/>
          <w:sz w:val="22"/>
          <w:szCs w:val="22"/>
        </w:rPr>
        <w:t xml:space="preserve"> a fragmentovat stávající vodní toky.</w:t>
      </w:r>
    </w:p>
    <w:p w14:paraId="0000001A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Zavedení institutu převažujícího veřejného zájmu a jeho vyvratitelné domněnky pro plánování a výstavbu malých vodních elektráren tak výrazně usnadní zájemcům o znovu zprovoznění stávajících vodních děl cestu k realizaci jejich záměru. Pokud však bude v řízení prokázáno, že výstavba malé vodní elektrárny v souladu s veřejným zájmem (ať už jakýmkoliv) není, malá vodní elektrárna realizována nebude.</w:t>
      </w:r>
    </w:p>
    <w:p w14:paraId="0000001B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A"/>
          <w:sz w:val="22"/>
          <w:szCs w:val="22"/>
        </w:rPr>
      </w:pPr>
      <w:r>
        <w:rPr>
          <w:rFonts w:ascii="Arial" w:eastAsia="Arial" w:hAnsi="Arial" w:cs="Arial"/>
          <w:color w:val="00000A"/>
          <w:sz w:val="22"/>
          <w:szCs w:val="22"/>
        </w:rPr>
        <w:t>S ohledem na výše uvedené se tedy navrhuje zrovnoprávnění obnovitelných zdrojů využívajících energii vodního toku s ostatními obnovitelnými zdroji a odstranění jejich dosavadní diskriminace.</w:t>
      </w:r>
    </w:p>
    <w:p w14:paraId="0000001C" w14:textId="77777777" w:rsidR="00FF6563" w:rsidRDefault="00FF6563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A"/>
          <w:sz w:val="22"/>
          <w:szCs w:val="22"/>
        </w:rPr>
      </w:pPr>
    </w:p>
    <w:p w14:paraId="0000001D" w14:textId="77777777" w:rsidR="00FF6563" w:rsidRDefault="00FF6563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A"/>
          <w:sz w:val="22"/>
          <w:szCs w:val="22"/>
        </w:rPr>
      </w:pPr>
    </w:p>
    <w:p w14:paraId="0000001E" w14:textId="77777777" w:rsidR="00FF6563" w:rsidRDefault="00FF6563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A"/>
          <w:sz w:val="22"/>
          <w:szCs w:val="22"/>
        </w:rPr>
      </w:pPr>
    </w:p>
    <w:p w14:paraId="0000001F" w14:textId="77777777" w:rsidR="00FF6563" w:rsidRDefault="00FF6563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A"/>
          <w:sz w:val="22"/>
          <w:szCs w:val="22"/>
        </w:rPr>
      </w:pPr>
    </w:p>
    <w:p w14:paraId="00000020" w14:textId="77777777" w:rsidR="00FF6563" w:rsidRDefault="00815CD6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A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0A"/>
          <w:sz w:val="22"/>
          <w:szCs w:val="22"/>
          <w:u w:val="single"/>
        </w:rPr>
        <w:lastRenderedPageBreak/>
        <w:t>Platné znění s vyznačením změn:</w:t>
      </w:r>
    </w:p>
    <w:p w14:paraId="00000021" w14:textId="77777777" w:rsidR="00FF6563" w:rsidRDefault="00FF6563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Arial" w:eastAsia="Arial" w:hAnsi="Arial" w:cs="Arial"/>
          <w:color w:val="00000A"/>
          <w:sz w:val="22"/>
          <w:szCs w:val="22"/>
          <w:u w:val="single"/>
        </w:rPr>
      </w:pPr>
    </w:p>
    <w:p w14:paraId="00000022" w14:textId="77777777" w:rsidR="00FF6563" w:rsidRDefault="00815CD6">
      <w:pPr>
        <w:keepNext/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ZÁKON O OCHRANĚ PŘÍRODY A KRAJINY</w:t>
      </w:r>
    </w:p>
    <w:p w14:paraId="00000023" w14:textId="77777777" w:rsidR="00FF6563" w:rsidRDefault="00815CD6">
      <w:pPr>
        <w:keepNext/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§ 82a</w:t>
      </w:r>
    </w:p>
    <w:p w14:paraId="00000024" w14:textId="77777777" w:rsidR="00FF6563" w:rsidRDefault="00815CD6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Zvláštní ustanovení o povolování zařízení na výrobu energie z obnovitelných zdrojů</w:t>
      </w:r>
    </w:p>
    <w:p w14:paraId="00000025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ind w:firstLine="567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(1) Má se za to, že plánování, výstavba, modernizace a provoz zařízení pro výrobu energie z obnovitelných zdrojů, jejich připojení k soustavě a související soustava samotná a skladovací zařízení, jsou v převažujícím veřejném zájmu a že slouží veřejnému zdraví a bezpečnosti</w:t>
      </w:r>
      <w:r>
        <w:rPr>
          <w:rFonts w:ascii="Arial" w:eastAsia="Arial" w:hAnsi="Arial" w:cs="Arial"/>
          <w:color w:val="000000"/>
          <w:sz w:val="22"/>
          <w:szCs w:val="22"/>
          <w:vertAlign w:val="superscript"/>
        </w:rPr>
        <w:t>67)</w:t>
      </w:r>
      <w:r>
        <w:rPr>
          <w:rFonts w:ascii="Arial" w:eastAsia="Arial" w:hAnsi="Arial" w:cs="Arial"/>
          <w:color w:val="000000"/>
          <w:sz w:val="22"/>
          <w:szCs w:val="22"/>
        </w:rPr>
        <w:t>, a to při poměřování veřejných zájmů pro účely posouzení</w:t>
      </w:r>
    </w:p>
    <w:p w14:paraId="00000026" w14:textId="77777777" w:rsidR="00FF6563" w:rsidRDefault="00815C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potřebnosti záměru v zájmu veřejného zdraví nebo veřejné bezpečnosti podle § 5b odst. 1,</w:t>
      </w:r>
    </w:p>
    <w:p w14:paraId="00000027" w14:textId="77777777" w:rsidR="00FF6563" w:rsidRDefault="00815C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existence naléhavých důvodů převažujícího veřejného zájmu podle § 45i odst. 4 a existence důvodů týkajících se veřejného zdraví nebo veřejné bezpečnosti podle § 45i odst. 5,</w:t>
      </w:r>
    </w:p>
    <w:p w14:paraId="00000028" w14:textId="77777777" w:rsidR="00FF6563" w:rsidRDefault="00815C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převahy jiného veřejného zájmu nad zájmem ochrany přírody podle § 56 odst. 1 a existence zájmu veřejného zdraví nebo veřejné bezpečnosti nebo jiných naléhavých důvodů převažujícího veřejného zájmu podle § 56 odst. 2 písm. c).</w:t>
      </w:r>
    </w:p>
    <w:p w14:paraId="00000029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(2) Odstavec 1 se uplatní na celém území České republiky, s výjimkou</w:t>
      </w:r>
    </w:p>
    <w:p w14:paraId="0000002A" w14:textId="77777777" w:rsidR="00FF6563" w:rsidRDefault="00815C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evropsky významných lokalit a ptačích oblastí,</w:t>
      </w:r>
    </w:p>
    <w:p w14:paraId="0000002B" w14:textId="77777777" w:rsidR="00FF6563" w:rsidRDefault="00815C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zvláště chráněných území,</w:t>
      </w:r>
    </w:p>
    <w:p w14:paraId="0000002C" w14:textId="77777777" w:rsidR="00FF6563" w:rsidRDefault="00815C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ind w:left="567" w:hanging="567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lokalit výskytu zvláště chráněných druhů rostlin a živočichů s národním významem</w:t>
      </w:r>
      <w:r>
        <w:rPr>
          <w:rFonts w:ascii="Arial" w:eastAsia="Arial" w:hAnsi="Arial" w:cs="Arial"/>
          <w:color w:val="000000"/>
          <w:sz w:val="22"/>
          <w:szCs w:val="22"/>
          <w:vertAlign w:val="superscript"/>
        </w:rPr>
        <w:t>68)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0002D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ind w:firstLine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trike/>
          <w:color w:val="000000"/>
          <w:sz w:val="22"/>
          <w:szCs w:val="22"/>
        </w:rPr>
        <w:t>(3) Odstavec 1 se neuplatní v případě plánování a výstavby nových obnovitelných zdrojů využívajících energii vodního toku.</w:t>
      </w:r>
    </w:p>
    <w:p w14:paraId="0000002E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</w:t>
      </w:r>
    </w:p>
    <w:p w14:paraId="0000002F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vertAlign w:val="superscript"/>
        </w:rPr>
        <w:t>67)</w:t>
      </w:r>
      <w:r>
        <w:rPr>
          <w:rFonts w:ascii="Arial" w:eastAsia="Arial" w:hAnsi="Arial" w:cs="Arial"/>
          <w:color w:val="000000"/>
        </w:rPr>
        <w:t xml:space="preserve"> Článek 16f směrnice Evropského parlamentu a Rady (EU) 2018/2001 ze dne 11. prosince 2018 o podpoře využívání energie z obnovitelných zdrojů, ve znění směrnice Evropského parlamentu a Rady (EU) 2023/2413 ze dne 18. října 2023, kterou se mění směrnice (EU) 2018/2001, nařízení (EU) 2018/1999 a směrnice 98/70/ES, pokud jde o podporu energie z obnovitelných zdrojů, a zrušuje směrnice Rady (EU) 2015/652.</w:t>
      </w:r>
    </w:p>
    <w:p w14:paraId="00000030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vertAlign w:val="superscript"/>
        </w:rPr>
        <w:t>68)</w:t>
      </w:r>
      <w:r>
        <w:rPr>
          <w:rFonts w:ascii="Arial" w:eastAsia="Arial" w:hAnsi="Arial" w:cs="Arial"/>
          <w:color w:val="000000"/>
        </w:rPr>
        <w:t xml:space="preserve"> Bod 36 přílohy č. 1 vyhlášky č. 500/2006 Sb., o územně analytických podkladech, územně plánovací dokumentaci a způsobu evidence územně plánovací činnosti.“.</w:t>
      </w:r>
    </w:p>
    <w:p w14:paraId="00000031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VODNÍ ZÁKON</w:t>
      </w:r>
    </w:p>
    <w:p w14:paraId="00000032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§ 23b</w:t>
      </w:r>
    </w:p>
    <w:p w14:paraId="00000033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Zvláštní ustanovení o povolování zařízení na výrobu energie z obnovitelných zdrojů</w:t>
      </w:r>
    </w:p>
    <w:p w14:paraId="00000034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ind w:firstLine="567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(1) Má se za to, že plánování, výstavba, modernizace a provoz zařízení pro výrobu energie z obnovitelných zdrojů, jejich připojení k soustavě a související soustava samotná a skladovací zařízení, jsou při posuzování existence převažujícího veřejného zájmu nebo převahy přínosů nových změn pro lidské zdraví, udržení ochrany obyvatel nebo udržitelný rozvoj podle § 23a odst. 8 písm. b) v převažujícím veřejném zájmu a že slouží veřejnému zdraví a bezpečnosti</w:t>
      </w:r>
      <w:r>
        <w:rPr>
          <w:rFonts w:ascii="Arial" w:eastAsia="Arial" w:hAnsi="Arial" w:cs="Arial"/>
          <w:color w:val="000000"/>
          <w:sz w:val="22"/>
          <w:szCs w:val="22"/>
          <w:vertAlign w:val="superscript"/>
        </w:rPr>
        <w:t>68)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00035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ind w:firstLine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trike/>
          <w:color w:val="000000"/>
          <w:sz w:val="22"/>
          <w:szCs w:val="22"/>
        </w:rPr>
        <w:t>(2) Odstavec 1 se neuplatní v případě plánování a výstavby nových obnovitelných zdrojů využívajících energii vodního toku.</w:t>
      </w:r>
    </w:p>
    <w:p w14:paraId="00000036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____________</w:t>
      </w:r>
    </w:p>
    <w:p w14:paraId="00000037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vertAlign w:val="superscript"/>
        </w:rPr>
        <w:t>68)</w:t>
      </w:r>
      <w:r>
        <w:rPr>
          <w:rFonts w:ascii="Arial" w:eastAsia="Arial" w:hAnsi="Arial" w:cs="Arial"/>
          <w:color w:val="000000"/>
        </w:rPr>
        <w:t xml:space="preserve"> Článek 16f směrnice Evropského parlamentu a Rady (EU) 2018/2001 ze dne 11. prosince 2018 o podpoře využívání energie z obnovitelných zdrojů, ve znění směrnice Evropského parlamentu a Rady (EU) 2023/2413 ze dne 18. října 2023, kterou se mění směrnice (EU) 2018/2001, nařízení (EU) 2018/1999 a směrnice 98/70/ES, pokud jde o podporu energie z obnovitelných zdrojů, a zrušuje směrnice Rady (EU) 2015/652.“.</w:t>
      </w:r>
    </w:p>
    <w:p w14:paraId="00000038" w14:textId="77777777" w:rsidR="00FF6563" w:rsidRDefault="00FF656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Arial" w:eastAsia="Arial" w:hAnsi="Arial" w:cs="Arial"/>
          <w:color w:val="000000"/>
        </w:rPr>
      </w:pPr>
    </w:p>
    <w:p w14:paraId="00000039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 Praze dne 27.5.2026</w:t>
      </w:r>
    </w:p>
    <w:p w14:paraId="0000003A" w14:textId="77777777" w:rsidR="00FF6563" w:rsidRDefault="00815CD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</w:rPr>
        <w:t>Ing. Marie Pošarová</w:t>
      </w:r>
    </w:p>
    <w:sectPr w:rsidR="00FF6563">
      <w:footerReference w:type="default" r:id="rId7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6FAF9" w14:textId="77777777" w:rsidR="00815CD6" w:rsidRDefault="00815CD6">
      <w:r>
        <w:separator/>
      </w:r>
    </w:p>
  </w:endnote>
  <w:endnote w:type="continuationSeparator" w:id="0">
    <w:p w14:paraId="619E0C5D" w14:textId="77777777" w:rsidR="00815CD6" w:rsidRDefault="00815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3EDE157C-53BC-48C8-AB10-D5954BC0FAFD}"/>
    <w:embedBold r:id="rId2" w:fontKey="{772C2C18-C672-4CEE-84BF-2112EB100D46}"/>
  </w:font>
  <w:font w:name="Georgia">
    <w:panose1 w:val="02040502050405020303"/>
    <w:charset w:val="00"/>
    <w:family w:val="auto"/>
    <w:pitch w:val="default"/>
    <w:embedItalic r:id="rId3" w:fontKey="{1BCFA596-7764-4A22-ADD4-F47298EE03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A46C1C6A-C46F-445D-AE95-2E336B8A8C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B" w14:textId="77777777" w:rsidR="00FF6563" w:rsidRDefault="00FF6563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A604A" w14:textId="77777777" w:rsidR="00815CD6" w:rsidRDefault="00815CD6">
      <w:r>
        <w:separator/>
      </w:r>
    </w:p>
  </w:footnote>
  <w:footnote w:type="continuationSeparator" w:id="0">
    <w:p w14:paraId="1C5CF2D4" w14:textId="77777777" w:rsidR="00815CD6" w:rsidRDefault="00815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D084A"/>
    <w:multiLevelType w:val="multilevel"/>
    <w:tmpl w:val="3C3051A8"/>
    <w:lvl w:ilvl="0">
      <w:start w:val="1"/>
      <w:numFmt w:val="lowerLetter"/>
      <w:lvlText w:val="%1)"/>
      <w:lvlJc w:val="left"/>
      <w:pPr>
        <w:ind w:left="128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1.%2.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1.%2.%3.%4.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1.%2.%3.%4.%5.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1.%2.%3.%4.%5.%6.%7.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1.%2.%3.%4.%5.%6.%7.%8.%9."/>
      <w:lvlJc w:val="right"/>
      <w:pPr>
        <w:ind w:left="7047" w:hanging="180"/>
      </w:pPr>
      <w:rPr>
        <w:vertAlign w:val="baseline"/>
      </w:rPr>
    </w:lvl>
  </w:abstractNum>
  <w:abstractNum w:abstractNumId="1" w15:restartNumberingAfterBreak="0">
    <w:nsid w:val="534C5795"/>
    <w:multiLevelType w:val="multilevel"/>
    <w:tmpl w:val="921820E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1.%2.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1.%2.%3.%4.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1.%2.%3.%4.%5.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1.%2.%3.%4.%5.%6.%7.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1.%2.%3.%4.%5.%6.%7.%8.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5F5C1EF1"/>
    <w:multiLevelType w:val="multilevel"/>
    <w:tmpl w:val="75FCBA16"/>
    <w:lvl w:ilvl="0">
      <w:start w:val="1"/>
      <w:numFmt w:val="lowerLetter"/>
      <w:lvlText w:val="%1)"/>
      <w:lvlJc w:val="left"/>
      <w:pPr>
        <w:ind w:left="128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1.%2.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1.%2.%3.%4.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1.%2.%3.%4.%5.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1.%2.%3.%4.%5.%6.%7.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1.%2.%3.%4.%5.%6.%7.%8.%9."/>
      <w:lvlJc w:val="right"/>
      <w:pPr>
        <w:ind w:left="7047" w:hanging="180"/>
      </w:pPr>
      <w:rPr>
        <w:vertAlign w:val="baseline"/>
      </w:rPr>
    </w:lvl>
  </w:abstractNum>
  <w:num w:numId="1" w16cid:durableId="324359383">
    <w:abstractNumId w:val="1"/>
  </w:num>
  <w:num w:numId="2" w16cid:durableId="1968273296">
    <w:abstractNumId w:val="0"/>
  </w:num>
  <w:num w:numId="3" w16cid:durableId="207882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63"/>
    <w:rsid w:val="000D46E7"/>
    <w:rsid w:val="00815CD6"/>
    <w:rsid w:val="00FF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F052F1-4C6B-4A65-9650-3ED1D88D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cs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1158</Words>
  <Characters>6836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Bc. Marie Pošarová</dc:creator>
  <cp:lastModifiedBy>Ing. Bc. Marie Pošarová</cp:lastModifiedBy>
  <cp:revision>2</cp:revision>
  <dcterms:created xsi:type="dcterms:W3CDTF">2026-05-27T15:50:00Z</dcterms:created>
  <dcterms:modified xsi:type="dcterms:W3CDTF">2026-05-27T15:50:00Z</dcterms:modified>
</cp:coreProperties>
</file>