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sz w:val="32"/>
          <w:szCs w:val="32"/>
        </w:rPr>
      </w:pPr>
      <w:r w:rsidDel="00000000" w:rsidR="00000000" w:rsidRPr="00000000">
        <w:rPr>
          <w:sz w:val="32"/>
          <w:szCs w:val="32"/>
          <w:rtl w:val="0"/>
        </w:rPr>
        <w:t xml:space="preserve">p</w:t>
      </w:r>
      <w:r w:rsidDel="00000000" w:rsidR="00000000" w:rsidRPr="00000000">
        <w:rPr>
          <w:sz w:val="32"/>
          <w:szCs w:val="32"/>
          <w:rtl w:val="0"/>
        </w:rPr>
        <w:t xml:space="preserve">oslankyň a poslanců</w:t>
      </w:r>
    </w:p>
    <w:p w:rsidR="00000000" w:rsidDel="00000000" w:rsidP="00000000" w:rsidRDefault="00000000" w:rsidRPr="00000000" w14:paraId="0000000A">
      <w:pPr>
        <w:keepNext w:val="1"/>
        <w:keepLines w:val="1"/>
        <w:widowControl w:val="0"/>
        <w:spacing w:after="200" w:before="240" w:line="276" w:lineRule="auto"/>
        <w:jc w:val="center"/>
        <w:rPr>
          <w:b w:val="1"/>
          <w:bCs w:val="1"/>
          <w:sz w:val="32"/>
          <w:szCs w:val="32"/>
        </w:rPr>
      </w:pPr>
      <w:r w:rsidDel="00000000" w:rsidR="00000000" w:rsidRPr="00000000">
        <w:rPr>
          <w:sz w:val="32"/>
          <w:szCs w:val="32"/>
          <w:rtl w:val="0"/>
        </w:rPr>
        <w:t xml:space="preserve">Veroniky Kovářové, Ivana Bartoše, Andrey Hoffmannové, Adriany Chochelové, Gabriely Svárovské, Bohuslava Niemiece, Lucie Bartošové, Martina Baxy, Barbory Pipášové a Samuela Volpeho</w:t>
      </w:r>
      <w:r w:rsidDel="00000000" w:rsidR="00000000" w:rsidRPr="00000000">
        <w:rPr>
          <w:rtl w:val="0"/>
        </w:rPr>
      </w:r>
    </w:p>
    <w:p w:rsidR="00000000" w:rsidDel="00000000" w:rsidP="00000000" w:rsidRDefault="00000000" w:rsidRPr="00000000" w14:paraId="0000000B">
      <w:pPr>
        <w:widowControl w:val="0"/>
        <w:spacing w:after="200" w:before="200" w:line="276" w:lineRule="auto"/>
        <w:jc w:val="left"/>
        <w:rPr>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b w:val="1"/>
          <w:bCs w:val="1"/>
          <w:sz w:val="24"/>
          <w:szCs w:val="24"/>
        </w:rPr>
      </w:pPr>
      <w:r w:rsidDel="00000000" w:rsidR="00000000" w:rsidRPr="00000000">
        <w:rPr>
          <w:b w:val="1"/>
          <w:bCs w:val="1"/>
          <w:sz w:val="24"/>
          <w:szCs w:val="24"/>
          <w:rtl w:val="0"/>
        </w:rPr>
        <w:t xml:space="preserve">ke komplexnímu pozměňovacímu návrhu uvedenému v usnesení hospodářského výboru č. 55 ze dne 30. dubna 2026</w:t>
      </w:r>
    </w:p>
    <w:p w:rsidR="00000000" w:rsidDel="00000000" w:rsidP="00000000" w:rsidRDefault="00000000" w:rsidRPr="00000000" w14:paraId="0000000D">
      <w:pPr>
        <w:spacing w:after="200" w:before="20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200" w:before="200" w:line="276" w:lineRule="auto"/>
        <w:jc w:val="center"/>
        <w:rPr>
          <w:sz w:val="24"/>
          <w:szCs w:val="24"/>
        </w:rPr>
      </w:pPr>
      <w:r w:rsidDel="00000000" w:rsidR="00000000" w:rsidRPr="00000000">
        <w:rPr>
          <w:sz w:val="24"/>
          <w:szCs w:val="24"/>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widowControl w:val="0"/>
        <w:spacing w:after="200" w:before="20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10">
      <w:pPr>
        <w:widowControl w:val="0"/>
        <w:spacing w:after="200" w:before="200" w:line="276" w:lineRule="auto"/>
        <w:jc w:val="center"/>
        <w:rPr>
          <w:b w:val="1"/>
          <w:bCs w:val="1"/>
          <w:sz w:val="24"/>
          <w:szCs w:val="24"/>
        </w:rPr>
      </w:pPr>
      <w:r w:rsidDel="00000000" w:rsidR="00000000" w:rsidRPr="00000000">
        <w:rPr>
          <w:b w:val="1"/>
          <w:bCs w:val="1"/>
          <w:sz w:val="40"/>
          <w:szCs w:val="40"/>
          <w:rtl w:val="0"/>
        </w:rPr>
        <w:t xml:space="preserve">ST 67/11</w:t>
      </w:r>
      <w:r w:rsidDel="00000000" w:rsidR="00000000" w:rsidRPr="00000000">
        <w:rPr>
          <w:rtl w:val="0"/>
        </w:rPr>
      </w:r>
    </w:p>
    <w:p w:rsidR="00000000" w:rsidDel="00000000" w:rsidP="00000000" w:rsidRDefault="00000000" w:rsidRPr="00000000" w14:paraId="00000011">
      <w:pPr>
        <w:widowControl w:val="0"/>
        <w:spacing w:after="200" w:before="200" w:line="276" w:lineRule="auto"/>
        <w:rPr>
          <w:b w:val="1"/>
          <w:bCs w:val="1"/>
          <w:sz w:val="24"/>
          <w:szCs w:val="24"/>
        </w:rPr>
      </w:pPr>
      <w:r w:rsidDel="00000000" w:rsidR="00000000" w:rsidRPr="00000000">
        <w:rPr>
          <w:rtl w:val="0"/>
        </w:rPr>
      </w:r>
    </w:p>
    <w:p w:rsidR="00000000" w:rsidDel="00000000" w:rsidP="00000000" w:rsidRDefault="00000000" w:rsidRPr="00000000" w14:paraId="00000012">
      <w:pPr>
        <w:widowControl w:val="0"/>
        <w:spacing w:after="200" w:before="200" w:line="276" w:lineRule="auto"/>
        <w:rPr>
          <w:b w:val="1"/>
          <w:bCs w:val="1"/>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pPr>
      <w:r w:rsidDel="00000000" w:rsidR="00000000" w:rsidRPr="00000000">
        <w:rPr>
          <w:b w:val="1"/>
          <w:bCs w:val="1"/>
          <w:sz w:val="24"/>
          <w:szCs w:val="24"/>
          <w:rtl w:val="0"/>
        </w:rPr>
        <w:t xml:space="preserve">Datum: </w:t>
      </w:r>
      <w:r w:rsidDel="00000000" w:rsidR="00000000" w:rsidRPr="00000000">
        <w:rPr>
          <w:sz w:val="24"/>
          <w:szCs w:val="24"/>
          <w:rtl w:val="0"/>
        </w:rPr>
        <w:t xml:space="preserve">3</w:t>
      </w:r>
      <w:r w:rsidDel="00000000" w:rsidR="00000000" w:rsidRPr="00000000">
        <w:rPr>
          <w:sz w:val="24"/>
          <w:szCs w:val="24"/>
          <w:rtl w:val="0"/>
        </w:rPr>
        <w:t xml:space="preserve">. 6. 2026</w:t>
      </w:r>
      <w:r w:rsidDel="00000000" w:rsidR="00000000" w:rsidRPr="00000000">
        <w:br w:type="page"/>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V části čtvrté v Čl. VII 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omplexního pozměňovacího návrhu uveden</w:t>
      </w:r>
      <w:r w:rsidDel="00000000" w:rsidR="00000000" w:rsidRPr="00000000">
        <w:rPr>
          <w:sz w:val="24"/>
          <w:szCs w:val="24"/>
          <w:rtl w:val="0"/>
        </w:rPr>
        <w:t xml:space="preserve">ého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za bod 1 vkládají nové body 2 a 3, které znějí:</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Postup při vydání plánu ochrany podle § 6a zákona č. 20/1987 Sb., ve znění účinném přede dnem nabytí účinnosti tohoto zákona, v němž byl návrh plánu ochrany přede dnem nabytí účinnosti tohoto zákona zveřejněn na úřední desce krajského úřadu, se dokončí podle zákona č. 20/1987 Sb., ve znění účinném přede dnem nabytí účinnosti tohoto zákona.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Plány ochrany vydané podle § 6a zákona č. 20/1987 Sb., ve znění účinném přede dnem nabytí účinnosti tohoto zákona, se ode dne nabytí účinnosti tohoto zákona považují za plány ochrany, péče a rozvoje podle § 6a zákona č. 20/1987 Sb., ve znění účinném ode dne nabytí účinnosti tohoto zákona.“.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Dosavadní body 2 až 4 se označují jako body 4 až 6.</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O d ů v o d n ě n í</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Pozměňovací návrh doplňuje přechodná ustanovení k novele zákona č. 20/1987 Sb., o státní památkové péči, v části týkající se plánů ochrany památkových rezervací</w:t>
      </w:r>
      <w:r w:rsidDel="00000000" w:rsidR="00000000" w:rsidRPr="00000000">
        <w:rPr>
          <w:sz w:val="24"/>
          <w:szCs w:val="24"/>
          <w:rtl w:val="0"/>
        </w:rPr>
        <w:t xml:space="preserve">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památkových zón podle § 6a. Komplexní pozměňovací návrh mění dosavadní institut plánu ochrany na plán ochrany, péče a rozvoje a současně upravuje jeho obsahové pojetí. Bez výslovného přechodného pravidla by však mohly vzniknout pochybnosti o tom, jak naložit s plány ochrany, které již byly vydány, a s postupy, které jsou v pokročilé fázi pořizování.</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První navrhované přechodné ustanovení proto stanoví, že pokud byl přede dnem nabytí účinnosti zákona návrh plánu ochrany zveřejněn na úřední desce krajského úřadu, dokončí se postup při jeho vydání podle dosavadní právní úpravy. Toto řešení respektuje zásadu právní jistoty, chrání dosavadní procesní kroky krajského úřadu a předchází nutnosti opakovat již provedené úkony pouze z důvodu změny terminologie a koncepčního označení tohoto nástroje.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Druhé navrhované přechodné ustanovení výslovně stanoví, že plány ochrany vydané podle dosavadních právních předpisů se ode dne nabytí účinnosti zákona považují za plány ochrany, péče a rozvoje podle nové právní úpravy. Tím se zachovává kontinuita již vydaných opatření obecné povahy a odstraňuje se pochybnost, zda dosavadní plány ochrany zůstávají použitelným podkladem pro vyloučení nebo konkretizaci povinností vlastníků, správců a uživatelů nemovitostí v památkových rezervacích a památkových zónách.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Navržená úprava je věcně odůvodněná také tím, že nový plán ochrany, péče a rozvoje navazuje na dosavadní plán ochrany a plní obdobnou regulační a informační funkci. Jde o nástroj, který v podobě opatření obecné povahy stanoví pravidla pro určité nemovitosti nebo určité druhy prací v památkově chráněném území a může v zákonem vymezeném rozsahu snížit potřebu individuálních správních úkonů. Není proto účelné zpochybňovat nebo rušit již vydané plány ochrany ani přerušovat pokročilé postupy jejich vydání.</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Pozměňovací návrh je úzce navázán na změny § 6a obsažené v části čtvrté čl. VI komplexního pozměňovacího návrhu. Nezakládá nový věcný režim mimo rámec projednávané novely, ale pouze doplňuje chybějící přechodový mechanismus pro zachování kontinuity již existujících nebo pokročile připravovaných plánů ochrany.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Navrhované znění přechodných ustanovení zákona č. 20/1987 Sb., o státní památkové péči, s vyznačením navrhovaných změn a doplnění</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ČÁST ČTVRTÁ</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Změna zákona o státní památkové péči</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Čl. VII</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Přechodná ustanovení</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Řízení a postupy zahájené a neskončené přede dnem nabytí účinnosti tohoto zákona se dokončí podle zákona č. 20/1987 Sb., ve znění účinném ode dne nabytí účinnosti tohoto zákona, není-li stanoveno jinak.</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2. Postup při vydání plánu ochrany podle § 6a zákona č. 20/1987 Sb., ve znění účinném přede dnem nabytí účinnosti tohoto zákona, v němž byl návrh plánu ochrany přede dnem nabytí účinnosti tohoto zákona zveřejněn na úřední desce krajského úřadu, se dokončí podle zákona č. 20/1987 Sb., ve znění účinném přede dnem nabytí účinnosti tohoto zákona.</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3. Plány ochrany vydané podle § 6a zákona č. 20/1987 Sb., ve znění účinném přede dnem nabytí účinnosti tohoto zákona, se ode dne nabytí účinnosti tohoto zákona považují za plány ochrany, péče a rozvoje podle § 6a zákona č. 20/1987 Sb., ve znění účinném ode dne nabytí účinnosti tohoto zákona.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2.</w:t>
      </w:r>
      <w:r w:rsidDel="00000000" w:rsidR="00000000" w:rsidRPr="00000000">
        <w:rPr>
          <w:b w:val="1"/>
          <w:bCs w:val="1"/>
          <w:i w:val="0"/>
          <w:iCs w:val="0"/>
          <w:smallCaps w:val="0"/>
          <w:strike w:val="0"/>
          <w:color w:val="00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Řízení a postupy podle zákona č. 20/1987 Sb., ve znění účinném přede dnem nabytí účinnosti tohoto zákona, zahájené a neskončené do dne vzniku Úřadu rozvoje území České republiky (dále jen „Úřad“), k nimž je jako stavební úřad příslušný Úřad, převezme a dokončí ode dne svého vzniku Úřad podle zákona č. 20/1987 Sb., ve znění účinném ode dne nabytí účinnosti tohoto zákona. Do dne vzniku Úřadu pokračují v těchto řízeních a postupech podle zákona č. 20/1987 Sb., ve znění účinném ode dne nabytí účinnosti tohoto zákona, stavební úřady příslušné podle dosavadních předpisů.</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3.</w:t>
      </w:r>
      <w:r w:rsidDel="00000000" w:rsidR="00000000" w:rsidRPr="00000000">
        <w:rPr>
          <w:b w:val="1"/>
          <w:bCs w:val="1"/>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Řízení a postupy podle zákona č. 20/1987 Sb., ve znění účinném ode dne nabytí účinnosti tohoto zákona, zahájené a neskončené do dne vzniku úřadů rozvoje území krajů, k nimž je jako stavební úřad příslušný úřad rozvoje území kraje nebo jeho územní pracoviště, ode dne vzniku úřadů rozvoje území krajů převezme a dokončí příslušný úřad rozvoje území kraje nebo jeho územní pracoviště podle zákona č. 20/1987 Sb., ve znění účinném ode dne nabytí účinnosti tohoto zákona.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4.</w:t>
      </w:r>
      <w:r w:rsidDel="00000000" w:rsidR="00000000" w:rsidRPr="00000000">
        <w:rPr>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Ochranná pásma vymezená přede dnem 1. ledna 2007, která nebyla vydána územním rozhodnutím ani opatřením obecné povahy, pozbývají platnosti dnem vydání opatření obecné povahy, která je nahrazuje, nejpozději však 31. prosince 2028.</w:t>
      </w:r>
    </w:p>
    <w:sectPr>
      <w:pgSz w:h="15840" w:w="12240"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