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26A7" w14:textId="77777777" w:rsidR="000434D5" w:rsidRPr="004A29A9" w:rsidRDefault="000434D5" w:rsidP="000434D5">
      <w:pPr>
        <w:jc w:val="center"/>
        <w:rPr>
          <w:rFonts w:ascii="Arial" w:eastAsia="Arial" w:hAnsi="Arial" w:cs="Arial"/>
          <w:b w:val="0"/>
          <w:bCs w:val="0"/>
          <w:color w:val="00000A"/>
          <w:sz w:val="22"/>
          <w:szCs w:val="22"/>
        </w:rPr>
      </w:pPr>
      <w:bookmarkStart w:id="0" w:name="_Hlk190076735"/>
      <w:bookmarkStart w:id="1" w:name="_Hlk190070695"/>
      <w:r w:rsidRPr="004A29A9">
        <w:rPr>
          <w:rFonts w:ascii="Arial" w:eastAsia="Arial" w:hAnsi="Arial" w:cs="Arial"/>
          <w:b w:val="0"/>
          <w:bCs w:val="0"/>
          <w:color w:val="00000A"/>
          <w:sz w:val="22"/>
          <w:szCs w:val="22"/>
        </w:rPr>
        <w:t>PARLAMENT ČESKÉ REPUBLIKY</w:t>
      </w:r>
    </w:p>
    <w:p w14:paraId="22349795" w14:textId="77777777" w:rsidR="000434D5" w:rsidRPr="004A29A9" w:rsidRDefault="000434D5" w:rsidP="000434D5">
      <w:pPr>
        <w:jc w:val="center"/>
        <w:rPr>
          <w:rFonts w:ascii="Arial" w:eastAsia="Arial" w:hAnsi="Arial" w:cs="Arial"/>
          <w:b w:val="0"/>
          <w:bCs w:val="0"/>
          <w:color w:val="00000A"/>
          <w:sz w:val="22"/>
          <w:szCs w:val="22"/>
        </w:rPr>
      </w:pPr>
      <w:r w:rsidRPr="004A29A9">
        <w:rPr>
          <w:rFonts w:ascii="Arial" w:eastAsia="Arial" w:hAnsi="Arial" w:cs="Arial"/>
          <w:b w:val="0"/>
          <w:bCs w:val="0"/>
          <w:color w:val="00000A"/>
          <w:sz w:val="22"/>
          <w:szCs w:val="22"/>
        </w:rPr>
        <w:t>Poslanecká sněmovna</w:t>
      </w:r>
    </w:p>
    <w:p w14:paraId="56A7EA79" w14:textId="77777777" w:rsidR="000434D5" w:rsidRPr="004A29A9" w:rsidRDefault="000434D5" w:rsidP="000434D5">
      <w:pPr>
        <w:jc w:val="center"/>
        <w:rPr>
          <w:rFonts w:ascii="Arial" w:eastAsia="Arial" w:hAnsi="Arial" w:cs="Arial"/>
          <w:b w:val="0"/>
          <w:bCs w:val="0"/>
          <w:color w:val="00000A"/>
          <w:sz w:val="22"/>
          <w:szCs w:val="22"/>
        </w:rPr>
      </w:pPr>
      <w:r w:rsidRPr="004A29A9">
        <w:rPr>
          <w:rFonts w:ascii="Arial" w:eastAsia="Arial" w:hAnsi="Arial" w:cs="Arial"/>
          <w:b w:val="0"/>
          <w:bCs w:val="0"/>
          <w:color w:val="00000A"/>
          <w:sz w:val="22"/>
          <w:szCs w:val="22"/>
        </w:rPr>
        <w:t>2026</w:t>
      </w:r>
    </w:p>
    <w:p w14:paraId="02DAF868" w14:textId="77777777" w:rsidR="000434D5" w:rsidRPr="004A29A9" w:rsidRDefault="000434D5" w:rsidP="000434D5">
      <w:pPr>
        <w:jc w:val="center"/>
        <w:rPr>
          <w:rFonts w:ascii="Arial" w:eastAsia="Arial" w:hAnsi="Arial" w:cs="Arial"/>
          <w:b w:val="0"/>
          <w:bCs w:val="0"/>
          <w:color w:val="00000A"/>
          <w:sz w:val="22"/>
          <w:szCs w:val="22"/>
        </w:rPr>
      </w:pPr>
      <w:r w:rsidRPr="004A29A9">
        <w:rPr>
          <w:rFonts w:ascii="Arial" w:eastAsia="Arial" w:hAnsi="Arial" w:cs="Arial"/>
          <w:b w:val="0"/>
          <w:bCs w:val="0"/>
          <w:color w:val="00000A"/>
          <w:sz w:val="22"/>
          <w:szCs w:val="22"/>
        </w:rPr>
        <w:t>X. volební období</w:t>
      </w:r>
    </w:p>
    <w:p w14:paraId="25785618" w14:textId="77777777" w:rsidR="000434D5" w:rsidRPr="004A29A9" w:rsidRDefault="000434D5" w:rsidP="000434D5">
      <w:pPr>
        <w:jc w:val="center"/>
        <w:rPr>
          <w:rFonts w:ascii="Arial" w:eastAsia="Arial" w:hAnsi="Arial" w:cs="Arial"/>
          <w:b w:val="0"/>
          <w:bCs w:val="0"/>
          <w:color w:val="00000A"/>
          <w:sz w:val="22"/>
          <w:szCs w:val="22"/>
        </w:rPr>
      </w:pPr>
      <w:r w:rsidRPr="004A29A9">
        <w:rPr>
          <w:rFonts w:ascii="Arial" w:eastAsia="Arial" w:hAnsi="Arial" w:cs="Arial"/>
          <w:b w:val="0"/>
          <w:bCs w:val="0"/>
          <w:color w:val="00000A"/>
          <w:sz w:val="22"/>
          <w:szCs w:val="22"/>
        </w:rPr>
        <w:t>___________________________________________________________</w:t>
      </w:r>
    </w:p>
    <w:p w14:paraId="148BA5EC" w14:textId="77777777" w:rsidR="000434D5" w:rsidRPr="004A29A9" w:rsidRDefault="000434D5" w:rsidP="000434D5">
      <w:pPr>
        <w:keepNext/>
        <w:spacing w:before="240" w:after="120"/>
        <w:jc w:val="center"/>
        <w:rPr>
          <w:rFonts w:ascii="Arial" w:eastAsia="Arial" w:hAnsi="Arial" w:cs="Arial"/>
          <w:b w:val="0"/>
          <w:bCs w:val="0"/>
          <w:color w:val="00000A"/>
          <w:sz w:val="22"/>
          <w:szCs w:val="22"/>
        </w:rPr>
      </w:pPr>
    </w:p>
    <w:p w14:paraId="4C6918FD" w14:textId="08610A0B" w:rsidR="000434D5" w:rsidRDefault="000434D5" w:rsidP="000434D5">
      <w:pPr>
        <w:spacing w:line="276" w:lineRule="auto"/>
        <w:jc w:val="center"/>
        <w:rPr>
          <w:rFonts w:ascii="Times New Roman" w:hAnsi="Times New Roman" w:cs="Times New Roman"/>
        </w:rPr>
      </w:pPr>
      <w:r w:rsidRPr="009C514A">
        <w:rPr>
          <w:rFonts w:ascii="Times New Roman" w:hAnsi="Times New Roman" w:cs="Times New Roman"/>
        </w:rPr>
        <w:t>Pozměňovací návrh</w:t>
      </w:r>
      <w:r>
        <w:rPr>
          <w:rFonts w:ascii="Times New Roman" w:hAnsi="Times New Roman" w:cs="Times New Roman"/>
        </w:rPr>
        <w:t xml:space="preserve"> poslanc</w:t>
      </w:r>
      <w:r w:rsidR="00CD607B">
        <w:rPr>
          <w:rFonts w:ascii="Times New Roman" w:hAnsi="Times New Roman" w:cs="Times New Roman"/>
        </w:rPr>
        <w:t>e Romana Kubíčka</w:t>
      </w:r>
    </w:p>
    <w:p w14:paraId="389E9F55" w14:textId="77777777" w:rsidR="000434D5" w:rsidRPr="009C514A" w:rsidRDefault="000434D5" w:rsidP="000434D5">
      <w:pPr>
        <w:spacing w:line="276" w:lineRule="auto"/>
        <w:jc w:val="center"/>
        <w:rPr>
          <w:rFonts w:ascii="Times New Roman" w:hAnsi="Times New Roman" w:cs="Times New Roman"/>
          <w:b w:val="0"/>
          <w:bCs w:val="0"/>
        </w:rPr>
      </w:pPr>
    </w:p>
    <w:p w14:paraId="76F07BF9" w14:textId="387C1923" w:rsidR="000434D5" w:rsidRPr="009C514A" w:rsidRDefault="000434D5" w:rsidP="000434D5">
      <w:pPr>
        <w:spacing w:line="276" w:lineRule="auto"/>
        <w:jc w:val="center"/>
        <w:rPr>
          <w:rFonts w:ascii="Times New Roman" w:hAnsi="Times New Roman" w:cs="Times New Roman"/>
          <w:b w:val="0"/>
          <w:bCs w:val="0"/>
          <w:color w:val="000000"/>
        </w:rPr>
      </w:pPr>
      <w:r w:rsidRPr="005C3E16">
        <w:rPr>
          <w:rFonts w:ascii="Times New Roman" w:hAnsi="Times New Roman" w:cs="Times New Roman"/>
        </w:rPr>
        <w:t xml:space="preserve">k návrhu poslanců </w:t>
      </w:r>
      <w:r w:rsidRPr="009E15B8">
        <w:rPr>
          <w:rFonts w:ascii="Times New Roman" w:hAnsi="Times New Roman" w:cs="Times New Roman"/>
        </w:rPr>
        <w:t xml:space="preserve">Andreje Babiše, Karla Havlíčka, Tomia Okamury, Petra </w:t>
      </w:r>
      <w:proofErr w:type="spellStart"/>
      <w:r w:rsidRPr="009E15B8">
        <w:rPr>
          <w:rFonts w:ascii="Times New Roman" w:hAnsi="Times New Roman" w:cs="Times New Roman"/>
        </w:rPr>
        <w:t>Macinky</w:t>
      </w:r>
      <w:proofErr w:type="spellEnd"/>
      <w:r w:rsidRPr="009E15B8">
        <w:rPr>
          <w:rFonts w:ascii="Times New Roman" w:hAnsi="Times New Roman" w:cs="Times New Roman"/>
        </w:rPr>
        <w:t>, Aleny</w:t>
      </w:r>
      <w:r>
        <w:rPr>
          <w:rFonts w:ascii="Times New Roman" w:hAnsi="Times New Roman" w:cs="Times New Roman"/>
        </w:rPr>
        <w:t xml:space="preserve"> </w:t>
      </w:r>
      <w:r w:rsidRPr="009E15B8">
        <w:rPr>
          <w:rFonts w:ascii="Times New Roman" w:hAnsi="Times New Roman" w:cs="Times New Roman"/>
        </w:rPr>
        <w:t>Schillerové, Zuzany Schwarz Bařtipánové, Radima Fialy, Borise Šťastného, Vojtěcha</w:t>
      </w:r>
      <w:r>
        <w:rPr>
          <w:rFonts w:ascii="Times New Roman" w:hAnsi="Times New Roman" w:cs="Times New Roman"/>
        </w:rPr>
        <w:t xml:space="preserve"> </w:t>
      </w:r>
      <w:proofErr w:type="spellStart"/>
      <w:r w:rsidRPr="009E15B8">
        <w:rPr>
          <w:rFonts w:ascii="Times New Roman" w:hAnsi="Times New Roman" w:cs="Times New Roman"/>
        </w:rPr>
        <w:t>Krňanského</w:t>
      </w:r>
      <w:proofErr w:type="spellEnd"/>
      <w:r w:rsidRPr="009E15B8">
        <w:rPr>
          <w:rFonts w:ascii="Times New Roman" w:hAnsi="Times New Roman" w:cs="Times New Roman"/>
        </w:rPr>
        <w:t xml:space="preserve"> a Marie </w:t>
      </w:r>
      <w:proofErr w:type="spellStart"/>
      <w:r w:rsidRPr="009E15B8">
        <w:rPr>
          <w:rFonts w:ascii="Times New Roman" w:hAnsi="Times New Roman" w:cs="Times New Roman"/>
        </w:rPr>
        <w:t>Pošarové</w:t>
      </w:r>
      <w:proofErr w:type="spellEnd"/>
      <w:r w:rsidRPr="009E15B8">
        <w:rPr>
          <w:rFonts w:ascii="Times New Roman" w:hAnsi="Times New Roman" w:cs="Times New Roman"/>
        </w:rPr>
        <w:t xml:space="preserve"> </w:t>
      </w:r>
      <w:r w:rsidRPr="005C3E16">
        <w:rPr>
          <w:rFonts w:ascii="Times New Roman" w:hAnsi="Times New Roman" w:cs="Times New Roman"/>
        </w:rPr>
        <w:t>na vydání zákona, kterým se mění zákon č.</w:t>
      </w:r>
      <w:r w:rsidR="007068CC">
        <w:rPr>
          <w:rFonts w:ascii="Times New Roman" w:hAnsi="Times New Roman" w:cs="Times New Roman"/>
        </w:rPr>
        <w:t> </w:t>
      </w:r>
      <w:r w:rsidRPr="009E15B8">
        <w:rPr>
          <w:rFonts w:ascii="Times New Roman" w:hAnsi="Times New Roman" w:cs="Times New Roman"/>
        </w:rPr>
        <w:t>283/2021 Sb.,</w:t>
      </w:r>
      <w:r>
        <w:rPr>
          <w:rFonts w:ascii="Times New Roman" w:hAnsi="Times New Roman" w:cs="Times New Roman"/>
        </w:rPr>
        <w:t xml:space="preserve"> </w:t>
      </w:r>
      <w:r w:rsidRPr="009E15B8">
        <w:rPr>
          <w:rFonts w:ascii="Times New Roman" w:hAnsi="Times New Roman" w:cs="Times New Roman"/>
        </w:rPr>
        <w:t>stavební zákon</w:t>
      </w:r>
      <w:r w:rsidRPr="005C3E16">
        <w:rPr>
          <w:rFonts w:ascii="Times New Roman" w:hAnsi="Times New Roman" w:cs="Times New Roman"/>
        </w:rPr>
        <w:t>, ve znění pozdějších předpisů</w:t>
      </w:r>
      <w:r>
        <w:rPr>
          <w:rFonts w:ascii="Times New Roman" w:hAnsi="Times New Roman" w:cs="Times New Roman"/>
        </w:rPr>
        <w:t xml:space="preserve">, </w:t>
      </w:r>
      <w:r w:rsidRPr="009E15B8">
        <w:rPr>
          <w:rFonts w:ascii="Times New Roman" w:hAnsi="Times New Roman" w:cs="Times New Roman"/>
        </w:rPr>
        <w:t>a další související zákony</w:t>
      </w:r>
    </w:p>
    <w:p w14:paraId="02D0E60A" w14:textId="77777777" w:rsidR="000434D5" w:rsidRDefault="000434D5" w:rsidP="000434D5">
      <w:pPr>
        <w:spacing w:line="276" w:lineRule="auto"/>
        <w:jc w:val="center"/>
        <w:rPr>
          <w:rFonts w:ascii="Times New Roman" w:hAnsi="Times New Roman" w:cs="Times New Roman"/>
          <w:b w:val="0"/>
          <w:color w:val="000000"/>
        </w:rPr>
      </w:pPr>
      <w:r w:rsidRPr="009C514A">
        <w:rPr>
          <w:rFonts w:ascii="Times New Roman" w:hAnsi="Times New Roman" w:cs="Times New Roman"/>
          <w:color w:val="000000"/>
        </w:rPr>
        <w:t xml:space="preserve">(sněmovní tisk č. </w:t>
      </w:r>
      <w:r>
        <w:rPr>
          <w:rFonts w:ascii="Times New Roman" w:hAnsi="Times New Roman" w:cs="Times New Roman"/>
          <w:color w:val="000000"/>
        </w:rPr>
        <w:t>67</w:t>
      </w:r>
      <w:r w:rsidRPr="009C514A">
        <w:rPr>
          <w:rFonts w:ascii="Times New Roman" w:hAnsi="Times New Roman" w:cs="Times New Roman"/>
          <w:color w:val="000000"/>
        </w:rPr>
        <w:t>)</w:t>
      </w:r>
    </w:p>
    <w:bookmarkEnd w:id="0"/>
    <w:p w14:paraId="2315B45F" w14:textId="77777777" w:rsidR="000434D5" w:rsidRPr="009C514A" w:rsidRDefault="000434D5" w:rsidP="000434D5">
      <w:pPr>
        <w:spacing w:line="276" w:lineRule="auto"/>
        <w:jc w:val="center"/>
        <w:rPr>
          <w:rFonts w:ascii="Times New Roman" w:hAnsi="Times New Roman" w:cs="Times New Roman"/>
          <w:b w:val="0"/>
          <w:color w:val="000000"/>
        </w:rPr>
      </w:pPr>
    </w:p>
    <w:bookmarkEnd w:id="1"/>
    <w:p w14:paraId="23149108" w14:textId="563F5CC3" w:rsidR="00F911FC" w:rsidRPr="00F911FC" w:rsidRDefault="00624EC5" w:rsidP="00F911FC">
      <w:pPr>
        <w:widowControl w:val="0"/>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 xml:space="preserve">1. </w:t>
      </w:r>
      <w:r w:rsidR="00F911FC">
        <w:rPr>
          <w:rFonts w:ascii="Times New Roman" w:eastAsia="Times New Roman" w:hAnsi="Times New Roman" w:cs="Times New Roman"/>
          <w:b w:val="0"/>
          <w:bCs w:val="0"/>
        </w:rPr>
        <w:t>V</w:t>
      </w:r>
      <w:r w:rsidR="00E24E78">
        <w:rPr>
          <w:rFonts w:ascii="Times New Roman" w:eastAsia="Times New Roman" w:hAnsi="Times New Roman" w:cs="Times New Roman"/>
          <w:b w:val="0"/>
          <w:bCs w:val="0"/>
        </w:rPr>
        <w:t xml:space="preserve"> dosavadní </w:t>
      </w:r>
      <w:r w:rsidR="00F911FC">
        <w:rPr>
          <w:rFonts w:ascii="Times New Roman" w:eastAsia="Times New Roman" w:hAnsi="Times New Roman" w:cs="Times New Roman"/>
          <w:b w:val="0"/>
          <w:bCs w:val="0"/>
        </w:rPr>
        <w:t xml:space="preserve">části dvacáté </w:t>
      </w:r>
      <w:r w:rsidR="00F911FC" w:rsidRPr="00F911FC">
        <w:rPr>
          <w:rFonts w:ascii="Times New Roman" w:eastAsia="Times New Roman" w:hAnsi="Times New Roman" w:cs="Times New Roman"/>
          <w:b w:val="0"/>
          <w:bCs w:val="0"/>
        </w:rPr>
        <w:t xml:space="preserve">první čl. </w:t>
      </w:r>
      <w:r w:rsidR="00F911FC" w:rsidRPr="00F911FC">
        <w:rPr>
          <w:rFonts w:ascii="Times New Roman" w:eastAsia="Times New Roman" w:hAnsi="Times New Roman" w:cs="Times New Roman"/>
          <w:b w:val="0"/>
          <w:bCs w:val="0"/>
        </w:rPr>
        <w:fldChar w:fldCharType="begin"/>
      </w:r>
      <w:r w:rsidR="00F911FC" w:rsidRPr="00F911FC">
        <w:rPr>
          <w:rFonts w:ascii="Times New Roman" w:eastAsia="Times New Roman" w:hAnsi="Times New Roman" w:cs="Times New Roman"/>
          <w:b w:val="0"/>
          <w:bCs w:val="0"/>
        </w:rPr>
        <w:instrText xml:space="preserve"> SEQ cislo \* ROMAN </w:instrText>
      </w:r>
      <w:r w:rsidR="00F911FC" w:rsidRPr="00F911FC">
        <w:rPr>
          <w:rFonts w:ascii="Times New Roman" w:eastAsia="Times New Roman" w:hAnsi="Times New Roman" w:cs="Times New Roman"/>
          <w:b w:val="0"/>
          <w:bCs w:val="0"/>
        </w:rPr>
        <w:fldChar w:fldCharType="separate"/>
      </w:r>
      <w:r w:rsidR="00F911FC" w:rsidRPr="00F911FC">
        <w:rPr>
          <w:rFonts w:ascii="Times New Roman" w:eastAsia="Times New Roman" w:hAnsi="Times New Roman" w:cs="Times New Roman"/>
          <w:b w:val="0"/>
          <w:bCs w:val="0"/>
        </w:rPr>
        <w:t>XVII</w:t>
      </w:r>
      <w:r w:rsidR="00F911FC" w:rsidRPr="00F911FC">
        <w:rPr>
          <w:rFonts w:ascii="Times New Roman" w:eastAsia="Times New Roman" w:hAnsi="Times New Roman" w:cs="Times New Roman"/>
          <w:b w:val="0"/>
          <w:bCs w:val="0"/>
        </w:rPr>
        <w:fldChar w:fldCharType="end"/>
      </w:r>
      <w:r w:rsidR="00F911FC" w:rsidRPr="00F911FC">
        <w:rPr>
          <w:rFonts w:ascii="Times New Roman" w:eastAsia="Times New Roman" w:hAnsi="Times New Roman" w:cs="Times New Roman"/>
          <w:b w:val="0"/>
          <w:bCs w:val="0"/>
        </w:rPr>
        <w:t xml:space="preserve">I </w:t>
      </w:r>
      <w:r w:rsidR="00E24E78" w:rsidRPr="00E24E78">
        <w:rPr>
          <w:rFonts w:ascii="Times New Roman" w:hAnsi="Times New Roman" w:cs="Times New Roman"/>
          <w:b w:val="0"/>
          <w:bCs w:val="0"/>
        </w:rPr>
        <w:t xml:space="preserve">(změna energetického zákona) </w:t>
      </w:r>
      <w:r w:rsidR="00E24E78">
        <w:rPr>
          <w:rFonts w:ascii="Times New Roman" w:eastAsia="Times New Roman" w:hAnsi="Times New Roman" w:cs="Times New Roman"/>
          <w:b w:val="0"/>
          <w:bCs w:val="0"/>
        </w:rPr>
        <w:t xml:space="preserve">se </w:t>
      </w:r>
      <w:r w:rsidR="008D6B01">
        <w:rPr>
          <w:rFonts w:ascii="Times New Roman" w:eastAsia="Times New Roman" w:hAnsi="Times New Roman" w:cs="Times New Roman"/>
          <w:b w:val="0"/>
          <w:bCs w:val="0"/>
        </w:rPr>
        <w:t>doplňuj</w:t>
      </w:r>
      <w:r w:rsidR="008334DB">
        <w:rPr>
          <w:rFonts w:ascii="Times New Roman" w:eastAsia="Times New Roman" w:hAnsi="Times New Roman" w:cs="Times New Roman"/>
          <w:b w:val="0"/>
          <w:bCs w:val="0"/>
        </w:rPr>
        <w:t>í</w:t>
      </w:r>
      <w:r w:rsidR="008D6B01">
        <w:rPr>
          <w:rFonts w:ascii="Times New Roman" w:eastAsia="Times New Roman" w:hAnsi="Times New Roman" w:cs="Times New Roman"/>
          <w:b w:val="0"/>
          <w:bCs w:val="0"/>
        </w:rPr>
        <w:t xml:space="preserve"> bod</w:t>
      </w:r>
      <w:r w:rsidR="008334DB">
        <w:rPr>
          <w:rFonts w:ascii="Times New Roman" w:eastAsia="Times New Roman" w:hAnsi="Times New Roman" w:cs="Times New Roman"/>
          <w:b w:val="0"/>
          <w:bCs w:val="0"/>
        </w:rPr>
        <w:t>y</w:t>
      </w:r>
      <w:r w:rsidR="008D6B01">
        <w:rPr>
          <w:rFonts w:ascii="Times New Roman" w:eastAsia="Times New Roman" w:hAnsi="Times New Roman" w:cs="Times New Roman"/>
          <w:b w:val="0"/>
          <w:bCs w:val="0"/>
        </w:rPr>
        <w:t xml:space="preserve"> </w:t>
      </w:r>
      <w:r w:rsidR="005150F6">
        <w:rPr>
          <w:rFonts w:ascii="Times New Roman" w:eastAsia="Times New Roman" w:hAnsi="Times New Roman" w:cs="Times New Roman"/>
          <w:b w:val="0"/>
          <w:bCs w:val="0"/>
        </w:rPr>
        <w:t>6</w:t>
      </w:r>
      <w:r w:rsidR="008334DB">
        <w:rPr>
          <w:rFonts w:ascii="Times New Roman" w:eastAsia="Times New Roman" w:hAnsi="Times New Roman" w:cs="Times New Roman"/>
          <w:b w:val="0"/>
          <w:bCs w:val="0"/>
        </w:rPr>
        <w:t xml:space="preserve"> a</w:t>
      </w:r>
      <w:r w:rsidR="00AF5E01">
        <w:rPr>
          <w:rFonts w:ascii="Times New Roman" w:eastAsia="Times New Roman" w:hAnsi="Times New Roman" w:cs="Times New Roman"/>
          <w:b w:val="0"/>
          <w:bCs w:val="0"/>
        </w:rPr>
        <w:t>ž</w:t>
      </w:r>
      <w:r w:rsidR="008334DB">
        <w:rPr>
          <w:rFonts w:ascii="Times New Roman" w:eastAsia="Times New Roman" w:hAnsi="Times New Roman" w:cs="Times New Roman"/>
          <w:b w:val="0"/>
          <w:bCs w:val="0"/>
        </w:rPr>
        <w:t xml:space="preserve"> </w:t>
      </w:r>
      <w:r w:rsidR="00AF5E01">
        <w:rPr>
          <w:rFonts w:ascii="Times New Roman" w:eastAsia="Times New Roman" w:hAnsi="Times New Roman" w:cs="Times New Roman"/>
          <w:b w:val="0"/>
          <w:bCs w:val="0"/>
        </w:rPr>
        <w:t>8</w:t>
      </w:r>
      <w:r w:rsidR="005150F6">
        <w:rPr>
          <w:rFonts w:ascii="Times New Roman" w:eastAsia="Times New Roman" w:hAnsi="Times New Roman" w:cs="Times New Roman"/>
          <w:b w:val="0"/>
          <w:bCs w:val="0"/>
        </w:rPr>
        <w:t>, kter</w:t>
      </w:r>
      <w:r w:rsidR="008334DB">
        <w:rPr>
          <w:rFonts w:ascii="Times New Roman" w:eastAsia="Times New Roman" w:hAnsi="Times New Roman" w:cs="Times New Roman"/>
          <w:b w:val="0"/>
          <w:bCs w:val="0"/>
        </w:rPr>
        <w:t>é</w:t>
      </w:r>
      <w:r w:rsidR="005150F6">
        <w:rPr>
          <w:rFonts w:ascii="Times New Roman" w:eastAsia="Times New Roman" w:hAnsi="Times New Roman" w:cs="Times New Roman"/>
          <w:b w:val="0"/>
          <w:bCs w:val="0"/>
        </w:rPr>
        <w:t xml:space="preserve"> zn</w:t>
      </w:r>
      <w:r w:rsidR="008334DB">
        <w:rPr>
          <w:rFonts w:ascii="Times New Roman" w:eastAsia="Times New Roman" w:hAnsi="Times New Roman" w:cs="Times New Roman"/>
          <w:b w:val="0"/>
          <w:bCs w:val="0"/>
        </w:rPr>
        <w:t>ějí:</w:t>
      </w:r>
    </w:p>
    <w:p w14:paraId="3AEFB50A" w14:textId="27917078" w:rsidR="00540DED" w:rsidRDefault="00624EC5" w:rsidP="009E5490">
      <w:pPr>
        <w:pStyle w:val="Odstavecseseznamem"/>
        <w:widowControl w:val="0"/>
        <w:pBdr>
          <w:top w:val="nil"/>
          <w:left w:val="nil"/>
          <w:bottom w:val="nil"/>
          <w:right w:val="nil"/>
          <w:between w:val="nil"/>
        </w:pBdr>
        <w:tabs>
          <w:tab w:val="left" w:pos="426"/>
        </w:tabs>
        <w:spacing w:before="200" w:after="200" w:line="276" w:lineRule="auto"/>
        <w:ind w:left="0"/>
        <w:contextualSpacing w:val="0"/>
        <w:jc w:val="both"/>
        <w:rPr>
          <w:rFonts w:ascii="Times New Roman" w:eastAsia="Times New Roman" w:hAnsi="Times New Roman" w:cs="Times New Roman"/>
          <w:b w:val="0"/>
          <w:bCs w:val="0"/>
        </w:rPr>
      </w:pPr>
      <w:r>
        <w:rPr>
          <w:rFonts w:ascii="Times New Roman" w:eastAsia="Times New Roman" w:hAnsi="Times New Roman" w:cs="Times New Roman"/>
          <w:b w:val="0"/>
          <w:bCs w:val="0"/>
        </w:rPr>
        <w:t>„</w:t>
      </w:r>
      <w:r w:rsidR="005150F6">
        <w:rPr>
          <w:rFonts w:ascii="Times New Roman" w:eastAsia="Times New Roman" w:hAnsi="Times New Roman" w:cs="Times New Roman"/>
          <w:b w:val="0"/>
          <w:bCs w:val="0"/>
        </w:rPr>
        <w:t>6.</w:t>
      </w:r>
      <w:r w:rsidR="00E83ECF">
        <w:rPr>
          <w:rFonts w:ascii="Times New Roman" w:eastAsia="Times New Roman" w:hAnsi="Times New Roman" w:cs="Times New Roman"/>
          <w:b w:val="0"/>
          <w:bCs w:val="0"/>
        </w:rPr>
        <w:t xml:space="preserve"> </w:t>
      </w:r>
      <w:r w:rsidR="006D2C23">
        <w:rPr>
          <w:rFonts w:ascii="Times New Roman" w:eastAsia="Times New Roman" w:hAnsi="Times New Roman" w:cs="Times New Roman"/>
          <w:b w:val="0"/>
          <w:bCs w:val="0"/>
        </w:rPr>
        <w:t>V</w:t>
      </w:r>
      <w:r w:rsidR="00AF5E01">
        <w:rPr>
          <w:rFonts w:ascii="Times New Roman" w:eastAsia="Times New Roman" w:hAnsi="Times New Roman" w:cs="Times New Roman"/>
          <w:b w:val="0"/>
          <w:bCs w:val="0"/>
        </w:rPr>
        <w:t xml:space="preserve"> nadpisu</w:t>
      </w:r>
      <w:r w:rsidR="006D2C23">
        <w:rPr>
          <w:rFonts w:ascii="Times New Roman" w:eastAsia="Times New Roman" w:hAnsi="Times New Roman" w:cs="Times New Roman"/>
          <w:b w:val="0"/>
          <w:bCs w:val="0"/>
        </w:rPr>
        <w:t xml:space="preserve"> § 79 </w:t>
      </w:r>
      <w:r w:rsidR="00AF5E01">
        <w:rPr>
          <w:rFonts w:ascii="Times New Roman" w:eastAsia="Times New Roman" w:hAnsi="Times New Roman" w:cs="Times New Roman"/>
          <w:b w:val="0"/>
          <w:bCs w:val="0"/>
        </w:rPr>
        <w:t>se slova „</w:t>
      </w:r>
      <w:r w:rsidR="00AF5E01" w:rsidRPr="00AF5E01">
        <w:rPr>
          <w:rFonts w:ascii="Times New Roman" w:eastAsia="Times New Roman" w:hAnsi="Times New Roman" w:cs="Times New Roman"/>
        </w:rPr>
        <w:t>a předávací stanice</w:t>
      </w:r>
      <w:r w:rsidR="00AF5E01">
        <w:rPr>
          <w:rFonts w:ascii="Times New Roman" w:eastAsia="Times New Roman" w:hAnsi="Times New Roman" w:cs="Times New Roman"/>
          <w:b w:val="0"/>
          <w:bCs w:val="0"/>
        </w:rPr>
        <w:t xml:space="preserve">“ nahrazují slovy </w:t>
      </w:r>
      <w:proofErr w:type="gramStart"/>
      <w:r w:rsidR="00100B79">
        <w:rPr>
          <w:rFonts w:ascii="Times New Roman" w:eastAsia="Times New Roman" w:hAnsi="Times New Roman" w:cs="Times New Roman"/>
          <w:b w:val="0"/>
          <w:bCs w:val="0"/>
        </w:rPr>
        <w:t>„</w:t>
      </w:r>
      <w:r w:rsidR="00AF5E01" w:rsidRPr="00AF5E01">
        <w:rPr>
          <w:rFonts w:ascii="Times New Roman" w:eastAsia="Times New Roman" w:hAnsi="Times New Roman" w:cs="Times New Roman"/>
        </w:rPr>
        <w:t xml:space="preserve"> ,</w:t>
      </w:r>
      <w:proofErr w:type="gramEnd"/>
      <w:r w:rsidR="00AF5E01" w:rsidRPr="00AF5E01">
        <w:rPr>
          <w:rFonts w:ascii="Times New Roman" w:eastAsia="Times New Roman" w:hAnsi="Times New Roman" w:cs="Times New Roman"/>
        </w:rPr>
        <w:t xml:space="preserve"> předávací stanice a</w:t>
      </w:r>
      <w:r w:rsidR="00AF5E01">
        <w:rPr>
          <w:rFonts w:ascii="Times New Roman" w:eastAsia="Times New Roman" w:hAnsi="Times New Roman" w:cs="Times New Roman"/>
        </w:rPr>
        <w:t> </w:t>
      </w:r>
      <w:r w:rsidR="00AF5E01" w:rsidRPr="00AF5E01">
        <w:rPr>
          <w:rFonts w:ascii="Times New Roman" w:eastAsia="Times New Roman" w:hAnsi="Times New Roman" w:cs="Times New Roman"/>
        </w:rPr>
        <w:t>tepelná síť</w:t>
      </w:r>
      <w:r w:rsidR="00AF5E01">
        <w:rPr>
          <w:rFonts w:ascii="Times New Roman" w:eastAsia="Times New Roman" w:hAnsi="Times New Roman" w:cs="Times New Roman"/>
          <w:b w:val="0"/>
          <w:bCs w:val="0"/>
        </w:rPr>
        <w:t>“</w:t>
      </w:r>
      <w:r w:rsidR="00540DED">
        <w:rPr>
          <w:rFonts w:ascii="Times New Roman" w:eastAsia="Times New Roman" w:hAnsi="Times New Roman" w:cs="Times New Roman"/>
          <w:b w:val="0"/>
          <w:bCs w:val="0"/>
        </w:rPr>
        <w:t>.</w:t>
      </w:r>
    </w:p>
    <w:p w14:paraId="591305C0" w14:textId="57F947F2" w:rsidR="00352E0F" w:rsidRDefault="00E83ECF" w:rsidP="00540DED">
      <w:pPr>
        <w:pStyle w:val="Odstavecseseznamem"/>
        <w:widowControl w:val="0"/>
        <w:pBdr>
          <w:top w:val="nil"/>
          <w:left w:val="nil"/>
          <w:bottom w:val="nil"/>
          <w:right w:val="nil"/>
          <w:between w:val="nil"/>
        </w:pBdr>
        <w:tabs>
          <w:tab w:val="left" w:pos="426"/>
        </w:tabs>
        <w:spacing w:before="200" w:after="200" w:line="276" w:lineRule="auto"/>
        <w:ind w:left="284" w:hanging="284"/>
        <w:contextualSpacing w:val="0"/>
        <w:jc w:val="both"/>
        <w:rPr>
          <w:rFonts w:ascii="Times New Roman" w:eastAsia="Times New Roman" w:hAnsi="Times New Roman" w:cs="Times New Roman"/>
          <w:b w:val="0"/>
          <w:bCs w:val="0"/>
        </w:rPr>
      </w:pPr>
      <w:r>
        <w:rPr>
          <w:rFonts w:ascii="Times New Roman" w:eastAsia="Times New Roman" w:hAnsi="Times New Roman" w:cs="Times New Roman"/>
          <w:b w:val="0"/>
          <w:bCs w:val="0"/>
        </w:rPr>
        <w:t>7</w:t>
      </w:r>
      <w:r w:rsidR="00540DED">
        <w:rPr>
          <w:rFonts w:ascii="Times New Roman" w:eastAsia="Times New Roman" w:hAnsi="Times New Roman" w:cs="Times New Roman"/>
          <w:b w:val="0"/>
          <w:bCs w:val="0"/>
        </w:rPr>
        <w:t>.</w:t>
      </w:r>
      <w:r w:rsidR="00540DED">
        <w:rPr>
          <w:rFonts w:ascii="Times New Roman" w:eastAsia="Times New Roman" w:hAnsi="Times New Roman" w:cs="Times New Roman"/>
          <w:b w:val="0"/>
          <w:bCs w:val="0"/>
        </w:rPr>
        <w:tab/>
        <w:t>V § 79 odstav</w:t>
      </w:r>
      <w:r w:rsidR="00AF5E01">
        <w:rPr>
          <w:rFonts w:ascii="Times New Roman" w:eastAsia="Times New Roman" w:hAnsi="Times New Roman" w:cs="Times New Roman"/>
          <w:b w:val="0"/>
          <w:bCs w:val="0"/>
        </w:rPr>
        <w:t>ec</w:t>
      </w:r>
      <w:r w:rsidR="00352E0F">
        <w:rPr>
          <w:rFonts w:ascii="Times New Roman" w:eastAsia="Times New Roman" w:hAnsi="Times New Roman" w:cs="Times New Roman"/>
          <w:b w:val="0"/>
          <w:bCs w:val="0"/>
        </w:rPr>
        <w:t xml:space="preserve"> 2 zní:</w:t>
      </w:r>
    </w:p>
    <w:p w14:paraId="7A786966" w14:textId="48D00CF5" w:rsidR="00024BEB" w:rsidRDefault="00352E0F" w:rsidP="00700758">
      <w:pPr>
        <w:spacing w:before="200" w:after="200" w:line="276" w:lineRule="auto"/>
        <w:ind w:firstLine="284"/>
        <w:jc w:val="both"/>
        <w:rPr>
          <w:rFonts w:ascii="Times New Roman" w:eastAsia="Times New Roman" w:hAnsi="Times New Roman" w:cs="Times New Roman"/>
          <w:b w:val="0"/>
          <w:bCs w:val="0"/>
        </w:rPr>
      </w:pPr>
      <w:r>
        <w:rPr>
          <w:rFonts w:ascii="Times New Roman" w:eastAsia="Times New Roman" w:hAnsi="Times New Roman" w:cs="Times New Roman"/>
          <w:b w:val="0"/>
          <w:bCs w:val="0"/>
        </w:rPr>
        <w:t xml:space="preserve">„(2) </w:t>
      </w:r>
      <w:r w:rsidR="00453BB5" w:rsidRPr="00453BB5">
        <w:rPr>
          <w:rFonts w:ascii="Times New Roman" w:eastAsia="Times New Roman" w:hAnsi="Times New Roman" w:cs="Times New Roman"/>
          <w:b w:val="0"/>
          <w:bCs w:val="0"/>
        </w:rPr>
        <w:t>Tepelná přípojka, předávací stanice a tepelná síť, popřípadě část tepelné sítě oddělená od jiné části tepelné sítě tlakovou či redukční stanicí nebo jiným funkčně obdobným zařízením, jsou samostatnými věcmi. Vlastníkem tepelné sítě nebo její části, tepelné přípojky nebo předávací stanice je ten, kdo ji zřídil, není-li dohodnuto jinak.</w:t>
      </w:r>
      <w:r w:rsidR="00AF5E01">
        <w:rPr>
          <w:rFonts w:ascii="Times New Roman" w:eastAsia="Times New Roman" w:hAnsi="Times New Roman" w:cs="Times New Roman"/>
          <w:b w:val="0"/>
          <w:bCs w:val="0"/>
        </w:rPr>
        <w:t>“.</w:t>
      </w:r>
    </w:p>
    <w:p w14:paraId="708DE8A5" w14:textId="7FEB8A43" w:rsidR="00AF5E01" w:rsidRDefault="00AF5E01" w:rsidP="00AF5E01">
      <w:pPr>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8. V § 79 odst. 3 se slova „</w:t>
      </w:r>
      <w:r w:rsidR="00100B79" w:rsidRPr="00100B79">
        <w:rPr>
          <w:rFonts w:ascii="Times New Roman" w:eastAsia="Times New Roman" w:hAnsi="Times New Roman" w:cs="Times New Roman"/>
          <w:b w:val="0"/>
          <w:bCs w:val="0"/>
        </w:rPr>
        <w:t>nebo předávací stanice</w:t>
      </w:r>
      <w:r>
        <w:rPr>
          <w:rFonts w:ascii="Times New Roman" w:eastAsia="Times New Roman" w:hAnsi="Times New Roman" w:cs="Times New Roman"/>
          <w:b w:val="0"/>
          <w:bCs w:val="0"/>
        </w:rPr>
        <w:t xml:space="preserve">“ nahrazují slovy </w:t>
      </w:r>
      <w:proofErr w:type="gramStart"/>
      <w:r w:rsidR="00100B79">
        <w:rPr>
          <w:rFonts w:ascii="Times New Roman" w:eastAsia="Times New Roman" w:hAnsi="Times New Roman" w:cs="Times New Roman"/>
          <w:b w:val="0"/>
          <w:bCs w:val="0"/>
        </w:rPr>
        <w:t xml:space="preserve">„ </w:t>
      </w:r>
      <w:r w:rsidR="00100B79" w:rsidRPr="00100B79">
        <w:rPr>
          <w:rFonts w:ascii="Times New Roman" w:eastAsia="Times New Roman" w:hAnsi="Times New Roman" w:cs="Times New Roman"/>
          <w:b w:val="0"/>
          <w:bCs w:val="0"/>
        </w:rPr>
        <w:t>,</w:t>
      </w:r>
      <w:proofErr w:type="gramEnd"/>
      <w:r w:rsidR="00100B79" w:rsidRPr="00100B79">
        <w:rPr>
          <w:rFonts w:ascii="Times New Roman" w:eastAsia="Times New Roman" w:hAnsi="Times New Roman" w:cs="Times New Roman"/>
          <w:b w:val="0"/>
          <w:bCs w:val="0"/>
        </w:rPr>
        <w:t xml:space="preserve"> předávací stanice nebo tepelné sítě</w:t>
      </w:r>
      <w:r>
        <w:rPr>
          <w:rFonts w:ascii="Times New Roman" w:eastAsia="Times New Roman" w:hAnsi="Times New Roman" w:cs="Times New Roman"/>
          <w:b w:val="0"/>
          <w:bCs w:val="0"/>
        </w:rPr>
        <w:t>“.</w:t>
      </w:r>
      <w:r w:rsidR="00100B79">
        <w:rPr>
          <w:rFonts w:ascii="Times New Roman" w:eastAsia="Times New Roman" w:hAnsi="Times New Roman" w:cs="Times New Roman"/>
          <w:b w:val="0"/>
          <w:bCs w:val="0"/>
        </w:rPr>
        <w:t>“.</w:t>
      </w:r>
    </w:p>
    <w:p w14:paraId="148C8CFB" w14:textId="1DF58636" w:rsidR="00700758" w:rsidRDefault="00263310" w:rsidP="00250F2B">
      <w:pPr>
        <w:tabs>
          <w:tab w:val="left" w:pos="284"/>
        </w:tabs>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2</w:t>
      </w:r>
      <w:r w:rsidR="00AF5E01">
        <w:rPr>
          <w:rFonts w:ascii="Times New Roman" w:eastAsia="Times New Roman" w:hAnsi="Times New Roman" w:cs="Times New Roman"/>
          <w:b w:val="0"/>
          <w:bCs w:val="0"/>
        </w:rPr>
        <w:t xml:space="preserve">. </w:t>
      </w:r>
      <w:r w:rsidR="00250F2B">
        <w:rPr>
          <w:rFonts w:ascii="Times New Roman" w:eastAsia="Times New Roman" w:hAnsi="Times New Roman" w:cs="Times New Roman"/>
          <w:b w:val="0"/>
          <w:bCs w:val="0"/>
        </w:rPr>
        <w:t>V</w:t>
      </w:r>
      <w:r w:rsidR="00E24E78">
        <w:rPr>
          <w:rFonts w:ascii="Times New Roman" w:eastAsia="Times New Roman" w:hAnsi="Times New Roman" w:cs="Times New Roman"/>
          <w:b w:val="0"/>
          <w:bCs w:val="0"/>
        </w:rPr>
        <w:t xml:space="preserve"> dosavadní </w:t>
      </w:r>
      <w:r w:rsidR="00250F2B">
        <w:rPr>
          <w:rFonts w:ascii="Times New Roman" w:eastAsia="Times New Roman" w:hAnsi="Times New Roman" w:cs="Times New Roman"/>
          <w:b w:val="0"/>
          <w:bCs w:val="0"/>
        </w:rPr>
        <w:t xml:space="preserve">části dvacáté </w:t>
      </w:r>
      <w:r w:rsidR="00250F2B" w:rsidRPr="00F911FC">
        <w:rPr>
          <w:rFonts w:ascii="Times New Roman" w:eastAsia="Times New Roman" w:hAnsi="Times New Roman" w:cs="Times New Roman"/>
          <w:b w:val="0"/>
          <w:bCs w:val="0"/>
        </w:rPr>
        <w:t xml:space="preserve">první </w:t>
      </w:r>
      <w:r w:rsidR="00F6586E">
        <w:rPr>
          <w:rFonts w:ascii="Times New Roman" w:eastAsia="Times New Roman" w:hAnsi="Times New Roman" w:cs="Times New Roman"/>
          <w:b w:val="0"/>
          <w:bCs w:val="0"/>
        </w:rPr>
        <w:t xml:space="preserve">se </w:t>
      </w:r>
      <w:r w:rsidR="00250F2B">
        <w:rPr>
          <w:rFonts w:ascii="Times New Roman" w:eastAsia="Times New Roman" w:hAnsi="Times New Roman" w:cs="Times New Roman"/>
          <w:b w:val="0"/>
          <w:bCs w:val="0"/>
        </w:rPr>
        <w:t>doplňuj</w:t>
      </w:r>
      <w:r w:rsidR="00F6586E">
        <w:rPr>
          <w:rFonts w:ascii="Times New Roman" w:eastAsia="Times New Roman" w:hAnsi="Times New Roman" w:cs="Times New Roman"/>
          <w:b w:val="0"/>
          <w:bCs w:val="0"/>
        </w:rPr>
        <w:t>e nový čl. XIX, který</w:t>
      </w:r>
      <w:r w:rsidR="001F1F79">
        <w:rPr>
          <w:rFonts w:ascii="Times New Roman" w:eastAsia="Times New Roman" w:hAnsi="Times New Roman" w:cs="Times New Roman"/>
          <w:b w:val="0"/>
          <w:bCs w:val="0"/>
        </w:rPr>
        <w:t xml:space="preserve"> včetně nadpisu</w:t>
      </w:r>
      <w:r w:rsidR="00F6586E">
        <w:rPr>
          <w:rFonts w:ascii="Times New Roman" w:eastAsia="Times New Roman" w:hAnsi="Times New Roman" w:cs="Times New Roman"/>
          <w:b w:val="0"/>
          <w:bCs w:val="0"/>
        </w:rPr>
        <w:t xml:space="preserve"> zní:</w:t>
      </w:r>
    </w:p>
    <w:p w14:paraId="7760F4E0" w14:textId="755448C4" w:rsidR="00323C0F" w:rsidRDefault="002A59E3" w:rsidP="00323C0F">
      <w:pPr>
        <w:tabs>
          <w:tab w:val="left" w:pos="284"/>
        </w:tabs>
        <w:spacing w:before="200" w:after="120" w:line="276" w:lineRule="auto"/>
        <w:jc w:val="center"/>
        <w:rPr>
          <w:rFonts w:ascii="Times New Roman" w:eastAsia="Times New Roman" w:hAnsi="Times New Roman" w:cs="Times New Roman"/>
          <w:b w:val="0"/>
          <w:bCs w:val="0"/>
        </w:rPr>
      </w:pPr>
      <w:r>
        <w:rPr>
          <w:rFonts w:ascii="Times New Roman" w:eastAsia="Times New Roman" w:hAnsi="Times New Roman" w:cs="Times New Roman"/>
          <w:b w:val="0"/>
          <w:bCs w:val="0"/>
        </w:rPr>
        <w:t>„</w:t>
      </w:r>
      <w:r w:rsidR="00323C0F">
        <w:rPr>
          <w:rFonts w:ascii="Times New Roman" w:eastAsia="Times New Roman" w:hAnsi="Times New Roman" w:cs="Times New Roman"/>
          <w:b w:val="0"/>
          <w:bCs w:val="0"/>
        </w:rPr>
        <w:t>Čl. XIX</w:t>
      </w:r>
    </w:p>
    <w:p w14:paraId="22ADC096" w14:textId="5EC64564" w:rsidR="00F6586E" w:rsidRDefault="00F6586E" w:rsidP="00323C0F">
      <w:pPr>
        <w:tabs>
          <w:tab w:val="left" w:pos="284"/>
        </w:tabs>
        <w:spacing w:after="200" w:line="276" w:lineRule="auto"/>
        <w:jc w:val="center"/>
        <w:rPr>
          <w:rFonts w:ascii="Times New Roman" w:eastAsia="Times New Roman" w:hAnsi="Times New Roman" w:cs="Times New Roman"/>
          <w:b w:val="0"/>
          <w:bCs w:val="0"/>
        </w:rPr>
      </w:pPr>
      <w:r w:rsidRPr="002A59E3">
        <w:rPr>
          <w:rFonts w:ascii="Times New Roman" w:eastAsia="Times New Roman" w:hAnsi="Times New Roman" w:cs="Times New Roman"/>
        </w:rPr>
        <w:t>Přechodné ustanovení</w:t>
      </w:r>
    </w:p>
    <w:p w14:paraId="01FB73B3" w14:textId="3901AF37" w:rsidR="00F6586E" w:rsidRDefault="002A59E3" w:rsidP="00250F2B">
      <w:pPr>
        <w:tabs>
          <w:tab w:val="left" w:pos="284"/>
        </w:tabs>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ab/>
      </w:r>
      <w:r w:rsidRPr="002A59E3">
        <w:rPr>
          <w:rFonts w:ascii="Times New Roman" w:eastAsia="Times New Roman" w:hAnsi="Times New Roman" w:cs="Times New Roman"/>
          <w:b w:val="0"/>
          <w:bCs w:val="0"/>
        </w:rPr>
        <w:t>Právní povaha tepelné přípojky, předávací stanice nebo tepelné sítě zřízených před nabytím účinnosti tohoto zákona, jakož i vznik a trvání právních poměrů týkajících se těchto tepelných zařízení, se posuzují podle zákona č. 458/2000 Sb., ve znění účinném ode dne nabytí účinnosti tohoto zákona.</w:t>
      </w:r>
      <w:r w:rsidR="00013A0D">
        <w:rPr>
          <w:rFonts w:ascii="Times New Roman" w:eastAsia="Times New Roman" w:hAnsi="Times New Roman" w:cs="Times New Roman"/>
          <w:b w:val="0"/>
          <w:bCs w:val="0"/>
        </w:rPr>
        <w:t>“.</w:t>
      </w:r>
    </w:p>
    <w:p w14:paraId="270F3CA0" w14:textId="3934812E" w:rsidR="00A12AEC" w:rsidRDefault="00A12AEC" w:rsidP="00250F2B">
      <w:pPr>
        <w:tabs>
          <w:tab w:val="left" w:pos="284"/>
        </w:tabs>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 xml:space="preserve">Následující </w:t>
      </w:r>
      <w:r w:rsidR="00496259">
        <w:rPr>
          <w:rFonts w:ascii="Times New Roman" w:eastAsia="Times New Roman" w:hAnsi="Times New Roman" w:cs="Times New Roman"/>
          <w:b w:val="0"/>
          <w:bCs w:val="0"/>
        </w:rPr>
        <w:t xml:space="preserve">články </w:t>
      </w:r>
      <w:r w:rsidR="00E24E78">
        <w:rPr>
          <w:rFonts w:ascii="Times New Roman" w:eastAsia="Times New Roman" w:hAnsi="Times New Roman" w:cs="Times New Roman"/>
          <w:b w:val="0"/>
          <w:bCs w:val="0"/>
        </w:rPr>
        <w:t>je nutné přečíslovat</w:t>
      </w:r>
      <w:r w:rsidR="00496259">
        <w:rPr>
          <w:rFonts w:ascii="Times New Roman" w:eastAsia="Times New Roman" w:hAnsi="Times New Roman" w:cs="Times New Roman"/>
          <w:b w:val="0"/>
          <w:bCs w:val="0"/>
        </w:rPr>
        <w:t>.</w:t>
      </w:r>
    </w:p>
    <w:p w14:paraId="5C7CD57A" w14:textId="1446FEFF" w:rsidR="00651EC2" w:rsidRPr="00E24E78" w:rsidRDefault="000434D5" w:rsidP="00E24E78">
      <w:pPr>
        <w:tabs>
          <w:tab w:val="left" w:pos="284"/>
        </w:tabs>
        <w:spacing w:before="200" w:after="200" w:line="276" w:lineRule="auto"/>
        <w:jc w:val="both"/>
        <w:rPr>
          <w:rFonts w:ascii="Times New Roman" w:hAnsi="Times New Roman" w:cs="Times New Roman"/>
          <w:b w:val="0"/>
          <w:bCs w:val="0"/>
        </w:rPr>
      </w:pPr>
      <w:r w:rsidRPr="000434D5">
        <w:rPr>
          <w:rFonts w:ascii="Times New Roman" w:hAnsi="Times New Roman" w:cs="Times New Roman"/>
          <w:b w:val="0"/>
          <w:bCs w:val="0"/>
        </w:rPr>
        <w:t>V případě přijetí jiných PN zasahujících do stejných ustanovení je nutné případně upravit znění bodů tak, aby došlo k zachování všech navržených změn.</w:t>
      </w:r>
      <w:r w:rsidR="003D5F38" w:rsidRPr="00E24E78">
        <w:rPr>
          <w:rFonts w:ascii="Times New Roman" w:eastAsia="Times New Roman" w:hAnsi="Times New Roman" w:cs="Times New Roman"/>
          <w:b w:val="0"/>
          <w:bCs w:val="0"/>
        </w:rPr>
        <w:tab/>
      </w:r>
      <w:r w:rsidR="00624EC5" w:rsidRPr="00E24E78">
        <w:rPr>
          <w:rFonts w:ascii="Times New Roman" w:eastAsia="Times New Roman" w:hAnsi="Times New Roman" w:cs="Times New Roman"/>
          <w:b w:val="0"/>
          <w:bCs w:val="0"/>
        </w:rPr>
        <w:t xml:space="preserve"> </w:t>
      </w:r>
      <w:r w:rsidR="00651EC2" w:rsidRPr="00E24E78">
        <w:rPr>
          <w:rFonts w:ascii="Times New Roman" w:eastAsia="Times New Roman" w:hAnsi="Times New Roman" w:cs="Times New Roman"/>
          <w:b w:val="0"/>
          <w:bCs w:val="0"/>
        </w:rPr>
        <w:t xml:space="preserve"> </w:t>
      </w:r>
    </w:p>
    <w:p w14:paraId="4C51A236" w14:textId="77777777" w:rsidR="000434D5" w:rsidRDefault="000434D5">
      <w:pPr>
        <w:rPr>
          <w:rFonts w:ascii="Times New Roman" w:eastAsia="Times New Roman" w:hAnsi="Times New Roman" w:cs="Times New Roman"/>
        </w:rPr>
      </w:pPr>
      <w:r>
        <w:rPr>
          <w:rFonts w:ascii="Times New Roman" w:eastAsia="Times New Roman" w:hAnsi="Times New Roman" w:cs="Times New Roman"/>
        </w:rPr>
        <w:br w:type="page"/>
      </w:r>
    </w:p>
    <w:p w14:paraId="38589934" w14:textId="4B530E1F" w:rsidR="003313E1" w:rsidRPr="00651EC2" w:rsidRDefault="003313E1" w:rsidP="00651EC2">
      <w:pPr>
        <w:pStyle w:val="Odstavecseseznamem"/>
        <w:widowControl w:val="0"/>
        <w:pBdr>
          <w:top w:val="nil"/>
          <w:left w:val="nil"/>
          <w:bottom w:val="nil"/>
          <w:right w:val="nil"/>
          <w:between w:val="nil"/>
        </w:pBdr>
        <w:spacing w:before="200" w:after="200" w:line="276" w:lineRule="auto"/>
        <w:ind w:left="284" w:hanging="284"/>
        <w:contextualSpacing w:val="0"/>
        <w:jc w:val="center"/>
        <w:rPr>
          <w:rFonts w:ascii="Times New Roman" w:eastAsia="Times New Roman" w:hAnsi="Times New Roman" w:cs="Times New Roman"/>
        </w:rPr>
      </w:pPr>
      <w:r w:rsidRPr="00651EC2">
        <w:rPr>
          <w:rFonts w:ascii="Times New Roman" w:eastAsia="Times New Roman" w:hAnsi="Times New Roman" w:cs="Times New Roman"/>
        </w:rPr>
        <w:lastRenderedPageBreak/>
        <w:t>Odůvodnění:</w:t>
      </w:r>
    </w:p>
    <w:p w14:paraId="05DDF7C1" w14:textId="77777777" w:rsidR="00811E3C" w:rsidRDefault="00705233" w:rsidP="009B276A">
      <w:pPr>
        <w:pStyle w:val="Odstavecseseznamem"/>
        <w:widowControl w:val="0"/>
        <w:pBdr>
          <w:top w:val="nil"/>
          <w:left w:val="nil"/>
          <w:bottom w:val="nil"/>
          <w:right w:val="nil"/>
          <w:between w:val="nil"/>
        </w:pBdr>
        <w:spacing w:before="200" w:after="200" w:line="276" w:lineRule="auto"/>
        <w:ind w:left="0"/>
        <w:contextualSpacing w:val="0"/>
        <w:jc w:val="both"/>
        <w:rPr>
          <w:rFonts w:ascii="Times New Roman" w:eastAsia="Times New Roman" w:hAnsi="Times New Roman" w:cs="Times New Roman"/>
          <w:b w:val="0"/>
          <w:bCs w:val="0"/>
        </w:rPr>
      </w:pPr>
      <w:r>
        <w:rPr>
          <w:rFonts w:ascii="Times New Roman" w:eastAsia="Times New Roman" w:hAnsi="Times New Roman" w:cs="Times New Roman"/>
          <w:b w:val="0"/>
          <w:bCs w:val="0"/>
        </w:rPr>
        <w:t>Navrhovan</w:t>
      </w:r>
      <w:r w:rsidR="00EA1745">
        <w:rPr>
          <w:rFonts w:ascii="Times New Roman" w:eastAsia="Times New Roman" w:hAnsi="Times New Roman" w:cs="Times New Roman"/>
          <w:b w:val="0"/>
          <w:bCs w:val="0"/>
        </w:rPr>
        <w:t xml:space="preserve">é upřesnění právní povahy staveb některých tepelných zařízení, zde staveb tepelných sítí, souvisí s aktuální potřebou vyjasnění </w:t>
      </w:r>
      <w:r w:rsidR="00811E3C">
        <w:rPr>
          <w:rFonts w:ascii="Times New Roman" w:eastAsia="Times New Roman" w:hAnsi="Times New Roman" w:cs="Times New Roman"/>
          <w:b w:val="0"/>
          <w:bCs w:val="0"/>
        </w:rPr>
        <w:t>právní povahy tepelných zařízení jako věcí v právním slova smyslu.</w:t>
      </w:r>
    </w:p>
    <w:p w14:paraId="019E9244" w14:textId="4C9555CE" w:rsidR="004407E3" w:rsidRDefault="00E83F58" w:rsidP="002306B8">
      <w:pPr>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sidRPr="00E83F58">
        <w:rPr>
          <w:rFonts w:ascii="Times New Roman" w:eastAsia="Times New Roman" w:hAnsi="Times New Roman" w:cs="Times New Roman"/>
          <w:b w:val="0"/>
          <w:bCs w:val="0"/>
        </w:rPr>
        <w:t xml:space="preserve">V rámci České republiky je provozováno velké množství vzájemně propojených soustav zásobování tepelnou energií. Je zcela běžné, že jednotlivé části </w:t>
      </w:r>
      <w:r w:rsidR="00B57D0E">
        <w:rPr>
          <w:rFonts w:ascii="Times New Roman" w:eastAsia="Times New Roman" w:hAnsi="Times New Roman" w:cs="Times New Roman"/>
          <w:b w:val="0"/>
          <w:bCs w:val="0"/>
        </w:rPr>
        <w:t xml:space="preserve">rozvodného tepelného zařízení </w:t>
      </w:r>
      <w:r w:rsidRPr="00E83F58">
        <w:rPr>
          <w:rFonts w:ascii="Times New Roman" w:eastAsia="Times New Roman" w:hAnsi="Times New Roman" w:cs="Times New Roman"/>
          <w:b w:val="0"/>
          <w:bCs w:val="0"/>
        </w:rPr>
        <w:t xml:space="preserve">vlastní či provozují různé subjekty. Dokladem této skutečnosti je mimo jiné rovněž přehled účinných soustav zásobování tepelnou energií, který každoročně zveřejňuje ERÚ a který slouží mimo jiné pro účely poskytování dotací, zpřísněné podmínky odpojování apod. Na </w:t>
      </w:r>
      <w:r w:rsidR="00FA4C6D">
        <w:rPr>
          <w:rFonts w:ascii="Times New Roman" w:eastAsia="Times New Roman" w:hAnsi="Times New Roman" w:cs="Times New Roman"/>
          <w:b w:val="0"/>
          <w:bCs w:val="0"/>
        </w:rPr>
        <w:t xml:space="preserve">těchto soustavách </w:t>
      </w:r>
      <w:r w:rsidRPr="00E83F58">
        <w:rPr>
          <w:rFonts w:ascii="Times New Roman" w:eastAsia="Times New Roman" w:hAnsi="Times New Roman" w:cs="Times New Roman"/>
          <w:b w:val="0"/>
          <w:bCs w:val="0"/>
        </w:rPr>
        <w:t xml:space="preserve">lze </w:t>
      </w:r>
      <w:r w:rsidR="00FA4C6D">
        <w:rPr>
          <w:rFonts w:ascii="Times New Roman" w:eastAsia="Times New Roman" w:hAnsi="Times New Roman" w:cs="Times New Roman"/>
          <w:b w:val="0"/>
          <w:bCs w:val="0"/>
        </w:rPr>
        <w:t xml:space="preserve">přesvědčivě </w:t>
      </w:r>
      <w:r w:rsidRPr="00E83F58">
        <w:rPr>
          <w:rFonts w:ascii="Times New Roman" w:eastAsia="Times New Roman" w:hAnsi="Times New Roman" w:cs="Times New Roman"/>
          <w:b w:val="0"/>
          <w:bCs w:val="0"/>
        </w:rPr>
        <w:t xml:space="preserve">demonstrovat, že úvaha obecných soudů o tom, že rozvodné tepelné zařízení je jeden funkční věcně nerozdělitelný celek (tedy jedna věc), protože zajišťuje dopravu tepelné energie od zdroje k odběrateli, nemůže obstát, protože v takovém případě by nemohlo obstát ani </w:t>
      </w:r>
      <w:r w:rsidR="0009264A">
        <w:rPr>
          <w:rFonts w:ascii="Times New Roman" w:eastAsia="Times New Roman" w:hAnsi="Times New Roman" w:cs="Times New Roman"/>
          <w:b w:val="0"/>
          <w:bCs w:val="0"/>
        </w:rPr>
        <w:t xml:space="preserve">uvedené </w:t>
      </w:r>
      <w:r w:rsidRPr="00E83F58">
        <w:rPr>
          <w:rFonts w:ascii="Times New Roman" w:eastAsia="Times New Roman" w:hAnsi="Times New Roman" w:cs="Times New Roman"/>
          <w:b w:val="0"/>
          <w:bCs w:val="0"/>
        </w:rPr>
        <w:t xml:space="preserve">schéma </w:t>
      </w:r>
      <w:r w:rsidR="0009264A">
        <w:rPr>
          <w:rFonts w:ascii="Times New Roman" w:eastAsia="Times New Roman" w:hAnsi="Times New Roman" w:cs="Times New Roman"/>
          <w:b w:val="0"/>
          <w:bCs w:val="0"/>
        </w:rPr>
        <w:t xml:space="preserve">rozdělení rozvodných tepelných zařízení. </w:t>
      </w:r>
    </w:p>
    <w:p w14:paraId="0FB9463B" w14:textId="68D0EB93" w:rsidR="00E83F58" w:rsidRPr="00E83F58" w:rsidRDefault="00E83F58" w:rsidP="002306B8">
      <w:pPr>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sidRPr="00E83F58">
        <w:rPr>
          <w:rFonts w:ascii="Times New Roman" w:eastAsia="Times New Roman" w:hAnsi="Times New Roman" w:cs="Times New Roman"/>
          <w:b w:val="0"/>
          <w:bCs w:val="0"/>
        </w:rPr>
        <w:t xml:space="preserve">Podnikat v energetických odvětvích upravených v energetickém zákoně lze jen na základě licence, což platí i v případě síťových energetických odvětví popsaných shora. Obligatorní součástí licence subjektů, které podnikají v síťových odvětvích, je i specifikace zařízení, prostřednictvím kterého je podnikatelská činnost vykonávána (a zpravidla i tzv. vymezené území, na kterém je licencovaná činnost držitelem licence vykonávána). </w:t>
      </w:r>
      <w:r w:rsidR="00416986">
        <w:rPr>
          <w:rFonts w:ascii="Times New Roman" w:eastAsia="Times New Roman" w:hAnsi="Times New Roman" w:cs="Times New Roman"/>
          <w:b w:val="0"/>
          <w:bCs w:val="0"/>
        </w:rPr>
        <w:t xml:space="preserve">Teplárenské subjekty dokládaly právní tituly k tepelným zařízením v licenčních řízeních ERÚ, který na základě ověření vzniku a trvání vlastnictví těmto subjektům udělil licenci na rozvod tepelné energie. Tato správní rozhodnutí ERÚ by při </w:t>
      </w:r>
      <w:r w:rsidR="00204299">
        <w:rPr>
          <w:rFonts w:ascii="Times New Roman" w:eastAsia="Times New Roman" w:hAnsi="Times New Roman" w:cs="Times New Roman"/>
          <w:b w:val="0"/>
          <w:bCs w:val="0"/>
        </w:rPr>
        <w:t xml:space="preserve">prosazení názoru o </w:t>
      </w:r>
      <w:proofErr w:type="spellStart"/>
      <w:r w:rsidR="00204299">
        <w:rPr>
          <w:rFonts w:ascii="Times New Roman" w:eastAsia="Times New Roman" w:hAnsi="Times New Roman" w:cs="Times New Roman"/>
          <w:b w:val="0"/>
          <w:bCs w:val="0"/>
        </w:rPr>
        <w:t>věcněprávní</w:t>
      </w:r>
      <w:proofErr w:type="spellEnd"/>
      <w:r w:rsidR="00204299">
        <w:rPr>
          <w:rFonts w:ascii="Times New Roman" w:eastAsia="Times New Roman" w:hAnsi="Times New Roman" w:cs="Times New Roman"/>
          <w:b w:val="0"/>
          <w:bCs w:val="0"/>
        </w:rPr>
        <w:t xml:space="preserve"> jednotě rozvodného tepelného zařízení </w:t>
      </w:r>
      <w:r w:rsidR="00416986">
        <w:rPr>
          <w:rFonts w:ascii="Times New Roman" w:eastAsia="Times New Roman" w:hAnsi="Times New Roman" w:cs="Times New Roman"/>
          <w:b w:val="0"/>
          <w:bCs w:val="0"/>
        </w:rPr>
        <w:t>byla zásadně zpochybněna a tím také právní jistota subjektů podnikajících v energetických odvětvích.</w:t>
      </w:r>
    </w:p>
    <w:p w14:paraId="48E3E1B2" w14:textId="09AD9334" w:rsidR="00D95AF9" w:rsidRDefault="00FF1437" w:rsidP="00FF1437">
      <w:pPr>
        <w:widowControl w:val="0"/>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sidRPr="00FF1437">
        <w:rPr>
          <w:rFonts w:ascii="Times New Roman" w:eastAsia="Times New Roman" w:hAnsi="Times New Roman" w:cs="Times New Roman"/>
          <w:b w:val="0"/>
          <w:bCs w:val="0"/>
        </w:rPr>
        <w:t>P</w:t>
      </w:r>
      <w:r w:rsidR="00E83F58" w:rsidRPr="00FF1437">
        <w:rPr>
          <w:rFonts w:ascii="Times New Roman" w:eastAsia="Times New Roman" w:hAnsi="Times New Roman" w:cs="Times New Roman"/>
          <w:b w:val="0"/>
          <w:bCs w:val="0"/>
        </w:rPr>
        <w:t xml:space="preserve">rávě u síťových odvětví, je vzhledem k jejich povaze a historickému vývoji časté, že provozovatel příslušné soustavy vlastní pouze její část a zároveň k jiné části téže soustavy disponuje vlastnickým právem osoba odlišná od provozovatele. V naprosté většině případů není o vlastnictví částí soustavy žádného sporu a v takovém režimu jsou tyto části soustavy provozovány desítky let. V případě, že by u teplárenské soustavy převážil názor, že </w:t>
      </w:r>
      <w:r w:rsidR="0045749D">
        <w:rPr>
          <w:rFonts w:ascii="Times New Roman" w:eastAsia="Times New Roman" w:hAnsi="Times New Roman" w:cs="Times New Roman"/>
          <w:b w:val="0"/>
          <w:bCs w:val="0"/>
        </w:rPr>
        <w:t>„</w:t>
      </w:r>
      <w:r w:rsidR="00E83F58" w:rsidRPr="00FF1437">
        <w:rPr>
          <w:rFonts w:ascii="Times New Roman" w:eastAsia="Times New Roman" w:hAnsi="Times New Roman" w:cs="Times New Roman"/>
          <w:b w:val="0"/>
          <w:bCs w:val="0"/>
        </w:rPr>
        <w:t xml:space="preserve">co </w:t>
      </w:r>
      <w:r w:rsidR="0045749D">
        <w:rPr>
          <w:rFonts w:ascii="Times New Roman" w:eastAsia="Times New Roman" w:hAnsi="Times New Roman" w:cs="Times New Roman"/>
          <w:b w:val="0"/>
          <w:bCs w:val="0"/>
        </w:rPr>
        <w:t xml:space="preserve">rozvodná </w:t>
      </w:r>
      <w:proofErr w:type="gramStart"/>
      <w:r w:rsidR="00E83F58" w:rsidRPr="00FF1437">
        <w:rPr>
          <w:rFonts w:ascii="Times New Roman" w:eastAsia="Times New Roman" w:hAnsi="Times New Roman" w:cs="Times New Roman"/>
          <w:b w:val="0"/>
          <w:bCs w:val="0"/>
        </w:rPr>
        <w:t xml:space="preserve">soustava </w:t>
      </w:r>
      <w:r w:rsidR="0045749D">
        <w:rPr>
          <w:rFonts w:ascii="Times New Roman" w:eastAsia="Times New Roman" w:hAnsi="Times New Roman" w:cs="Times New Roman"/>
          <w:b w:val="0"/>
          <w:bCs w:val="0"/>
        </w:rPr>
        <w:t>-</w:t>
      </w:r>
      <w:r w:rsidR="00D95AF9">
        <w:rPr>
          <w:rFonts w:ascii="Times New Roman" w:eastAsia="Times New Roman" w:hAnsi="Times New Roman" w:cs="Times New Roman"/>
          <w:b w:val="0"/>
          <w:bCs w:val="0"/>
        </w:rPr>
        <w:t xml:space="preserve"> </w:t>
      </w:r>
      <w:r w:rsidR="00E83F58" w:rsidRPr="00FF1437">
        <w:rPr>
          <w:rFonts w:ascii="Times New Roman" w:eastAsia="Times New Roman" w:hAnsi="Times New Roman" w:cs="Times New Roman"/>
          <w:b w:val="0"/>
          <w:bCs w:val="0"/>
        </w:rPr>
        <w:t>to</w:t>
      </w:r>
      <w:proofErr w:type="gramEnd"/>
      <w:r w:rsidR="00E83F58" w:rsidRPr="00FF1437">
        <w:rPr>
          <w:rFonts w:ascii="Times New Roman" w:eastAsia="Times New Roman" w:hAnsi="Times New Roman" w:cs="Times New Roman"/>
          <w:b w:val="0"/>
          <w:bCs w:val="0"/>
        </w:rPr>
        <w:t xml:space="preserve"> jedna nedělitelná věc</w:t>
      </w:r>
      <w:r w:rsidR="0045749D">
        <w:rPr>
          <w:rFonts w:ascii="Times New Roman" w:eastAsia="Times New Roman" w:hAnsi="Times New Roman" w:cs="Times New Roman"/>
          <w:b w:val="0"/>
          <w:bCs w:val="0"/>
        </w:rPr>
        <w:t>“</w:t>
      </w:r>
      <w:r w:rsidR="00E83F58" w:rsidRPr="00FF1437">
        <w:rPr>
          <w:rFonts w:ascii="Times New Roman" w:eastAsia="Times New Roman" w:hAnsi="Times New Roman" w:cs="Times New Roman"/>
          <w:b w:val="0"/>
          <w:bCs w:val="0"/>
        </w:rPr>
        <w:t>, znamenalo by to nejistotu, zda provozovatel, nebo ten, který užívání části soustavy umožnil, je nebo není skutečným vlastníkem části soustavy.</w:t>
      </w:r>
      <w:r w:rsidR="0064580D">
        <w:rPr>
          <w:rFonts w:ascii="Times New Roman" w:eastAsia="Times New Roman" w:hAnsi="Times New Roman" w:cs="Times New Roman"/>
          <w:b w:val="0"/>
          <w:bCs w:val="0"/>
        </w:rPr>
        <w:t xml:space="preserve"> </w:t>
      </w:r>
      <w:r w:rsidR="00E83F58" w:rsidRPr="00FF1437">
        <w:rPr>
          <w:rFonts w:ascii="Times New Roman" w:eastAsia="Times New Roman" w:hAnsi="Times New Roman" w:cs="Times New Roman"/>
          <w:b w:val="0"/>
          <w:bCs w:val="0"/>
        </w:rPr>
        <w:t>Muselo by tedy dojít k rozhodnutí, kdo z těchto subjektů je vlastníkem a k následnému vypořádání vztahů. Taková situace by automaticky generovala spory, a to nejen ohledně vlastnického práva, ale i o platnost vydaných licencí nebo platnost uzavřených smluv. Zároveň by vyvolávala neochotu investovat do teplárenské síťové infrastruktury. Je zřejmé, že taková nejistota je v době transformace energetiky vysoce nežádoucí s potenciálem zásadně poškodit mj. i konečného zákazníka.</w:t>
      </w:r>
    </w:p>
    <w:p w14:paraId="6CB1887D" w14:textId="77777777" w:rsidR="00C11267" w:rsidRDefault="00C11267" w:rsidP="00C11267">
      <w:pPr>
        <w:pStyle w:val="Odstavecseseznamem"/>
        <w:widowControl w:val="0"/>
        <w:pBdr>
          <w:top w:val="nil"/>
          <w:left w:val="nil"/>
          <w:bottom w:val="nil"/>
          <w:right w:val="nil"/>
          <w:between w:val="nil"/>
        </w:pBdr>
        <w:spacing w:before="200" w:after="200" w:line="276" w:lineRule="auto"/>
        <w:ind w:left="0"/>
        <w:contextualSpacing w:val="0"/>
        <w:jc w:val="both"/>
        <w:rPr>
          <w:rFonts w:ascii="Times New Roman" w:eastAsia="Times New Roman" w:hAnsi="Times New Roman" w:cs="Times New Roman"/>
          <w:b w:val="0"/>
          <w:bCs w:val="0"/>
        </w:rPr>
      </w:pPr>
      <w:r>
        <w:rPr>
          <w:rFonts w:ascii="Times New Roman" w:eastAsia="Times New Roman" w:hAnsi="Times New Roman" w:cs="Times New Roman"/>
          <w:b w:val="0"/>
          <w:bCs w:val="0"/>
        </w:rPr>
        <w:t>Přestože je obecně přijímaný odborný závěr o tom, že jednotlivé části rozvodného tepelného zařízení jsou věcmi v právním smyslu</w:t>
      </w:r>
      <w:r>
        <w:rPr>
          <w:rStyle w:val="Znakapoznpodarou"/>
          <w:rFonts w:ascii="Times New Roman" w:eastAsia="Times New Roman" w:hAnsi="Times New Roman" w:cs="Times New Roman"/>
          <w:b w:val="0"/>
          <w:bCs w:val="0"/>
        </w:rPr>
        <w:footnoteReference w:id="1"/>
      </w:r>
      <w:r>
        <w:rPr>
          <w:rFonts w:ascii="Times New Roman" w:eastAsia="Times New Roman" w:hAnsi="Times New Roman" w:cs="Times New Roman"/>
          <w:b w:val="0"/>
          <w:bCs w:val="0"/>
        </w:rPr>
        <w:t xml:space="preserve">, a přestože již stávající energetický zákon vymezuje </w:t>
      </w:r>
      <w:r>
        <w:rPr>
          <w:rFonts w:ascii="Times New Roman" w:eastAsia="Times New Roman" w:hAnsi="Times New Roman" w:cs="Times New Roman"/>
          <w:b w:val="0"/>
          <w:bCs w:val="0"/>
        </w:rPr>
        <w:lastRenderedPageBreak/>
        <w:t>stavby předávacích stanic a tepelných přípojek jako samostatné věci</w:t>
      </w:r>
      <w:r>
        <w:rPr>
          <w:rStyle w:val="Znakapoznpodarou"/>
          <w:rFonts w:ascii="Times New Roman" w:eastAsia="Times New Roman" w:hAnsi="Times New Roman" w:cs="Times New Roman"/>
          <w:b w:val="0"/>
          <w:bCs w:val="0"/>
        </w:rPr>
        <w:footnoteReference w:id="2"/>
      </w:r>
      <w:r>
        <w:rPr>
          <w:rFonts w:ascii="Times New Roman" w:eastAsia="Times New Roman" w:hAnsi="Times New Roman" w:cs="Times New Roman"/>
          <w:b w:val="0"/>
          <w:bCs w:val="0"/>
        </w:rPr>
        <w:t xml:space="preserve">, existuje značně roztříštěná judikatura soudů týkající se právě určení povahy rozvodných tepelných zařízení jako majetkových entit z hlediska vlastnického práva. Z poslední doby je možné zmínit např. usnesení Nejvyššího soudu č.j. </w:t>
      </w:r>
      <w:r w:rsidRPr="008762F4">
        <w:rPr>
          <w:rFonts w:ascii="Times New Roman" w:eastAsia="Times New Roman" w:hAnsi="Times New Roman" w:cs="Times New Roman"/>
          <w:b w:val="0"/>
          <w:bCs w:val="0"/>
        </w:rPr>
        <w:t xml:space="preserve">22 </w:t>
      </w:r>
      <w:proofErr w:type="spellStart"/>
      <w:r w:rsidRPr="008762F4">
        <w:rPr>
          <w:rFonts w:ascii="Times New Roman" w:eastAsia="Times New Roman" w:hAnsi="Times New Roman" w:cs="Times New Roman"/>
          <w:b w:val="0"/>
          <w:bCs w:val="0"/>
        </w:rPr>
        <w:t>Cdo</w:t>
      </w:r>
      <w:proofErr w:type="spellEnd"/>
      <w:r w:rsidRPr="008762F4">
        <w:rPr>
          <w:rFonts w:ascii="Times New Roman" w:eastAsia="Times New Roman" w:hAnsi="Times New Roman" w:cs="Times New Roman"/>
          <w:b w:val="0"/>
          <w:bCs w:val="0"/>
        </w:rPr>
        <w:t xml:space="preserve"> 2656/2024-1604</w:t>
      </w:r>
      <w:r>
        <w:rPr>
          <w:rFonts w:ascii="Times New Roman" w:eastAsia="Times New Roman" w:hAnsi="Times New Roman" w:cs="Times New Roman"/>
          <w:b w:val="0"/>
          <w:bCs w:val="0"/>
        </w:rPr>
        <w:t xml:space="preserve">. </w:t>
      </w:r>
    </w:p>
    <w:p w14:paraId="6A579E91" w14:textId="77777777" w:rsidR="0064580D" w:rsidRDefault="00D95AF9" w:rsidP="00FF1437">
      <w:pPr>
        <w:widowControl w:val="0"/>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Proto se navrhuje právní úprava, která bude na jisto upravovat</w:t>
      </w:r>
      <w:r w:rsidR="00A57A9A">
        <w:rPr>
          <w:rFonts w:ascii="Times New Roman" w:eastAsia="Times New Roman" w:hAnsi="Times New Roman" w:cs="Times New Roman"/>
          <w:b w:val="0"/>
          <w:bCs w:val="0"/>
        </w:rPr>
        <w:t xml:space="preserve">, že stavby nejenom tepelných přípojek a předávacích stanic (o kterých tak stanoví zákon již v platném znění, ale některými soudy není takový právní stav respektován), tak ale i </w:t>
      </w:r>
      <w:r w:rsidR="0045749D">
        <w:rPr>
          <w:rFonts w:ascii="Times New Roman" w:eastAsia="Times New Roman" w:hAnsi="Times New Roman" w:cs="Times New Roman"/>
          <w:b w:val="0"/>
          <w:bCs w:val="0"/>
        </w:rPr>
        <w:t xml:space="preserve">samotné tepelné sítě, popřípadě jejich funkčně oddělitelné části, jsou věcmi v právním slova smyslu. </w:t>
      </w:r>
    </w:p>
    <w:p w14:paraId="63FAA533" w14:textId="1EFA83F3" w:rsidR="008C5F90" w:rsidRDefault="0064580D" w:rsidP="00416986">
      <w:pPr>
        <w:widowControl w:val="0"/>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t>Přechodné ustanovení potom v návaznosti na uvedenou právní úpravu stanoví, že se právní úprava posuzování věcně</w:t>
      </w:r>
      <w:r w:rsidR="00B011A6">
        <w:rPr>
          <w:rFonts w:ascii="Times New Roman" w:eastAsia="Times New Roman" w:hAnsi="Times New Roman" w:cs="Times New Roman"/>
          <w:b w:val="0"/>
          <w:bCs w:val="0"/>
        </w:rPr>
        <w:t>-</w:t>
      </w:r>
      <w:r>
        <w:rPr>
          <w:rFonts w:ascii="Times New Roman" w:eastAsia="Times New Roman" w:hAnsi="Times New Roman" w:cs="Times New Roman"/>
          <w:b w:val="0"/>
          <w:bCs w:val="0"/>
        </w:rPr>
        <w:t>právního charakteru tepelných zařízení použije na veškerá tepelná zařízení, tedy včetně tepelných zařízení vzniklých před nabytím účinnosti novelizovaného zákona.</w:t>
      </w:r>
      <w:r w:rsidR="00755BA4">
        <w:rPr>
          <w:rFonts w:ascii="Times New Roman" w:eastAsia="Times New Roman" w:hAnsi="Times New Roman" w:cs="Times New Roman"/>
          <w:b w:val="0"/>
          <w:bCs w:val="0"/>
        </w:rPr>
        <w:t xml:space="preserve"> </w:t>
      </w:r>
      <w:r w:rsidR="00E66F93">
        <w:rPr>
          <w:rFonts w:ascii="Times New Roman" w:eastAsia="Times New Roman" w:hAnsi="Times New Roman" w:cs="Times New Roman"/>
          <w:b w:val="0"/>
          <w:bCs w:val="0"/>
        </w:rPr>
        <w:t xml:space="preserve"> </w:t>
      </w:r>
    </w:p>
    <w:p w14:paraId="028645C8" w14:textId="6906F58A" w:rsidR="00761AE1" w:rsidRDefault="00761AE1" w:rsidP="00416986">
      <w:pPr>
        <w:widowControl w:val="0"/>
        <w:pBdr>
          <w:top w:val="nil"/>
          <w:left w:val="nil"/>
          <w:bottom w:val="nil"/>
          <w:right w:val="nil"/>
          <w:between w:val="nil"/>
        </w:pBdr>
        <w:spacing w:before="200" w:after="200" w:line="276" w:lineRule="auto"/>
        <w:jc w:val="both"/>
        <w:rPr>
          <w:rFonts w:ascii="Times New Roman" w:eastAsia="Times New Roman" w:hAnsi="Times New Roman" w:cs="Times New Roman"/>
          <w:b w:val="0"/>
          <w:bCs w:val="0"/>
        </w:rPr>
      </w:pPr>
      <w:r>
        <w:rPr>
          <w:rFonts w:ascii="Times New Roman" w:eastAsia="Times New Roman" w:hAnsi="Times New Roman" w:cs="Times New Roman"/>
          <w:b w:val="0"/>
          <w:bCs w:val="0"/>
        </w:rPr>
        <w:br w:type="page"/>
      </w:r>
    </w:p>
    <w:p w14:paraId="4880ABC0" w14:textId="4BDBFD13" w:rsidR="00F911FC" w:rsidRDefault="00761AE1" w:rsidP="009B276A">
      <w:pPr>
        <w:pStyle w:val="Odstavecseseznamem"/>
        <w:widowControl w:val="0"/>
        <w:pBdr>
          <w:top w:val="nil"/>
          <w:left w:val="nil"/>
          <w:bottom w:val="nil"/>
          <w:right w:val="nil"/>
          <w:between w:val="nil"/>
        </w:pBdr>
        <w:spacing w:before="200" w:after="200" w:line="276" w:lineRule="auto"/>
        <w:ind w:left="0"/>
        <w:contextualSpacing w:val="0"/>
        <w:jc w:val="both"/>
        <w:rPr>
          <w:rFonts w:ascii="Times New Roman" w:eastAsia="Times New Roman" w:hAnsi="Times New Roman" w:cs="Times New Roman"/>
        </w:rPr>
      </w:pPr>
      <w:r w:rsidRPr="00761AE1">
        <w:rPr>
          <w:rFonts w:ascii="Times New Roman" w:eastAsia="Times New Roman" w:hAnsi="Times New Roman" w:cs="Times New Roman"/>
        </w:rPr>
        <w:lastRenderedPageBreak/>
        <w:t>Platné znění s vyznačením navrhovaných změn</w:t>
      </w:r>
      <w:r w:rsidR="00607238" w:rsidRPr="00761AE1">
        <w:rPr>
          <w:rFonts w:ascii="Times New Roman" w:eastAsia="Times New Roman" w:hAnsi="Times New Roman" w:cs="Times New Roman"/>
        </w:rPr>
        <w:t xml:space="preserve"> </w:t>
      </w:r>
    </w:p>
    <w:p w14:paraId="06119C7F" w14:textId="203BC0C6" w:rsidR="006913F1" w:rsidRPr="006913F1" w:rsidRDefault="006913F1" w:rsidP="006913F1">
      <w:pPr>
        <w:widowControl w:val="0"/>
        <w:pBdr>
          <w:top w:val="nil"/>
          <w:left w:val="nil"/>
          <w:bottom w:val="nil"/>
          <w:right w:val="nil"/>
          <w:between w:val="nil"/>
        </w:pBdr>
        <w:spacing w:before="120" w:after="120" w:line="276" w:lineRule="auto"/>
        <w:jc w:val="center"/>
        <w:rPr>
          <w:rFonts w:ascii="Times New Roman" w:eastAsia="Times New Roman" w:hAnsi="Times New Roman" w:cs="Times New Roman"/>
          <w:b w:val="0"/>
          <w:bCs w:val="0"/>
        </w:rPr>
      </w:pPr>
      <w:r w:rsidRPr="006913F1">
        <w:rPr>
          <w:rFonts w:ascii="Times New Roman" w:eastAsia="Times New Roman" w:hAnsi="Times New Roman" w:cs="Times New Roman"/>
          <w:b w:val="0"/>
          <w:bCs w:val="0"/>
        </w:rPr>
        <w:t>§ 79</w:t>
      </w:r>
    </w:p>
    <w:p w14:paraId="030CEC74" w14:textId="15CF98FC" w:rsidR="006913F1" w:rsidRPr="006913F1" w:rsidRDefault="006913F1" w:rsidP="006913F1">
      <w:pPr>
        <w:widowControl w:val="0"/>
        <w:pBdr>
          <w:top w:val="nil"/>
          <w:left w:val="nil"/>
          <w:bottom w:val="nil"/>
          <w:right w:val="nil"/>
          <w:between w:val="nil"/>
        </w:pBdr>
        <w:spacing w:before="120" w:after="120"/>
        <w:jc w:val="center"/>
        <w:rPr>
          <w:rFonts w:ascii="Times New Roman" w:eastAsia="Times New Roman" w:hAnsi="Times New Roman" w:cs="Times New Roman"/>
          <w:b w:val="0"/>
          <w:bCs w:val="0"/>
        </w:rPr>
      </w:pPr>
      <w:r w:rsidRPr="006913F1">
        <w:rPr>
          <w:rFonts w:ascii="Times New Roman" w:eastAsia="Times New Roman" w:hAnsi="Times New Roman" w:cs="Times New Roman"/>
        </w:rPr>
        <w:t>Tepelná přípojka</w:t>
      </w:r>
      <w:r w:rsidRPr="00AF5E01">
        <w:rPr>
          <w:rFonts w:ascii="Times New Roman" w:eastAsia="Times New Roman" w:hAnsi="Times New Roman" w:cs="Times New Roman"/>
          <w:strike/>
        </w:rPr>
        <w:t xml:space="preserve"> a předávací stanice</w:t>
      </w:r>
      <w:r w:rsidR="00AF5E01">
        <w:rPr>
          <w:rFonts w:ascii="Times New Roman" w:eastAsia="Times New Roman" w:hAnsi="Times New Roman" w:cs="Times New Roman"/>
        </w:rPr>
        <w:t>, předávací stanice</w:t>
      </w:r>
      <w:r w:rsidRPr="006913F1">
        <w:rPr>
          <w:rFonts w:ascii="Times New Roman" w:eastAsia="Times New Roman" w:hAnsi="Times New Roman" w:cs="Times New Roman"/>
        </w:rPr>
        <w:t xml:space="preserve"> a tepelná síť</w:t>
      </w:r>
    </w:p>
    <w:p w14:paraId="21D7CFBF" w14:textId="77777777" w:rsidR="006913F1" w:rsidRPr="006913F1" w:rsidRDefault="006913F1" w:rsidP="006913F1">
      <w:pPr>
        <w:pStyle w:val="Odstavecseseznamem"/>
        <w:widowControl w:val="0"/>
        <w:pBdr>
          <w:top w:val="nil"/>
          <w:left w:val="nil"/>
          <w:bottom w:val="nil"/>
          <w:right w:val="nil"/>
          <w:between w:val="nil"/>
        </w:pBdr>
        <w:spacing w:before="120" w:after="120"/>
        <w:ind w:left="0" w:firstLine="567"/>
        <w:contextualSpacing w:val="0"/>
        <w:jc w:val="both"/>
        <w:rPr>
          <w:rFonts w:ascii="Times New Roman" w:eastAsia="Times New Roman" w:hAnsi="Times New Roman" w:cs="Times New Roman"/>
          <w:b w:val="0"/>
          <w:bCs w:val="0"/>
        </w:rPr>
      </w:pPr>
      <w:r w:rsidRPr="006913F1">
        <w:rPr>
          <w:rFonts w:ascii="Times New Roman" w:eastAsia="Times New Roman" w:hAnsi="Times New Roman" w:cs="Times New Roman"/>
          <w:b w:val="0"/>
          <w:bCs w:val="0"/>
        </w:rPr>
        <w:t>(1) Předávací stanici určenou pro odběr tepelné energie pouze pro jeden objekt nebo tepelnou přípojku zřizuje na vlastní náklady odběratel tepelné energie, není-li dohodnuto jinak.</w:t>
      </w:r>
    </w:p>
    <w:p w14:paraId="1BC1BD8B" w14:textId="77777777" w:rsidR="00AF5E01" w:rsidRDefault="006913F1" w:rsidP="006913F1">
      <w:pPr>
        <w:pStyle w:val="Odstavecseseznamem"/>
        <w:widowControl w:val="0"/>
        <w:pBdr>
          <w:top w:val="nil"/>
          <w:left w:val="nil"/>
          <w:bottom w:val="nil"/>
          <w:right w:val="nil"/>
          <w:between w:val="nil"/>
        </w:pBdr>
        <w:spacing w:before="120" w:after="120"/>
        <w:ind w:left="0" w:firstLine="567"/>
        <w:contextualSpacing w:val="0"/>
        <w:jc w:val="both"/>
        <w:rPr>
          <w:rFonts w:ascii="Times New Roman" w:eastAsia="Times New Roman" w:hAnsi="Times New Roman" w:cs="Times New Roman"/>
          <w:b w:val="0"/>
          <w:bCs w:val="0"/>
        </w:rPr>
      </w:pPr>
      <w:r w:rsidRPr="00AF5E01">
        <w:rPr>
          <w:rFonts w:ascii="Times New Roman" w:eastAsia="Times New Roman" w:hAnsi="Times New Roman" w:cs="Times New Roman"/>
          <w:b w:val="0"/>
          <w:bCs w:val="0"/>
          <w:strike/>
        </w:rPr>
        <w:t xml:space="preserve">(2) </w:t>
      </w:r>
      <w:r w:rsidRPr="006913F1">
        <w:rPr>
          <w:rFonts w:ascii="Times New Roman" w:eastAsia="Times New Roman" w:hAnsi="Times New Roman" w:cs="Times New Roman"/>
          <w:b w:val="0"/>
          <w:bCs w:val="0"/>
          <w:strike/>
        </w:rPr>
        <w:t>Vlastníkem tepelné přípojky nebo předávací stanice je ten, kdo ji zřídil, není-li dohodnuto jinak.</w:t>
      </w:r>
      <w:r w:rsidR="00FF391A">
        <w:rPr>
          <w:rFonts w:ascii="Times New Roman" w:eastAsia="Times New Roman" w:hAnsi="Times New Roman" w:cs="Times New Roman"/>
          <w:b w:val="0"/>
          <w:bCs w:val="0"/>
        </w:rPr>
        <w:t xml:space="preserve"> </w:t>
      </w:r>
    </w:p>
    <w:p w14:paraId="6F498F4E" w14:textId="7D9C1E1A" w:rsidR="006913F1" w:rsidRPr="006913F1" w:rsidRDefault="00AF5E01" w:rsidP="006913F1">
      <w:pPr>
        <w:pStyle w:val="Odstavecseseznamem"/>
        <w:widowControl w:val="0"/>
        <w:pBdr>
          <w:top w:val="nil"/>
          <w:left w:val="nil"/>
          <w:bottom w:val="nil"/>
          <w:right w:val="nil"/>
          <w:between w:val="nil"/>
        </w:pBdr>
        <w:spacing w:before="120" w:after="120"/>
        <w:ind w:left="0" w:firstLine="567"/>
        <w:contextualSpacing w:val="0"/>
        <w:jc w:val="both"/>
        <w:rPr>
          <w:rFonts w:ascii="Times New Roman" w:eastAsia="Times New Roman" w:hAnsi="Times New Roman" w:cs="Times New Roman"/>
          <w:b w:val="0"/>
          <w:bCs w:val="0"/>
        </w:rPr>
      </w:pPr>
      <w:r w:rsidRPr="00AF5E01">
        <w:rPr>
          <w:rFonts w:ascii="Times New Roman" w:eastAsia="Times New Roman" w:hAnsi="Times New Roman" w:cs="Times New Roman"/>
        </w:rPr>
        <w:t xml:space="preserve">(2) </w:t>
      </w:r>
      <w:r w:rsidR="00FF391A" w:rsidRPr="00FF391A">
        <w:rPr>
          <w:rFonts w:ascii="Times New Roman" w:eastAsia="Times New Roman" w:hAnsi="Times New Roman" w:cs="Times New Roman"/>
        </w:rPr>
        <w:t>Tepelná přípojka, předávací stanice a tepelná síť, popřípadě část tepelné sítě oddělená od jiné části tepelné sítě tlakovou či redukční stanicí nebo jiným funkčně obdobným zařízením, jsou samostatnými věcmi. Vlastníkem tepelné sítě nebo její části, tepelné přípojky nebo předávací stanice je ten, kdo ji zřídil, není-li dohodnuto jinak.</w:t>
      </w:r>
    </w:p>
    <w:p w14:paraId="740B87A9" w14:textId="6C43BA02" w:rsidR="006913F1" w:rsidRPr="006913F1" w:rsidRDefault="006913F1" w:rsidP="006913F1">
      <w:pPr>
        <w:pStyle w:val="Odstavecseseznamem"/>
        <w:widowControl w:val="0"/>
        <w:pBdr>
          <w:top w:val="nil"/>
          <w:left w:val="nil"/>
          <w:bottom w:val="nil"/>
          <w:right w:val="nil"/>
          <w:between w:val="nil"/>
        </w:pBdr>
        <w:spacing w:before="120" w:after="120"/>
        <w:ind w:left="0" w:firstLine="567"/>
        <w:contextualSpacing w:val="0"/>
        <w:jc w:val="both"/>
        <w:rPr>
          <w:rFonts w:ascii="Times New Roman" w:eastAsia="Times New Roman" w:hAnsi="Times New Roman" w:cs="Times New Roman"/>
          <w:b w:val="0"/>
          <w:bCs w:val="0"/>
        </w:rPr>
      </w:pPr>
      <w:r w:rsidRPr="006913F1">
        <w:rPr>
          <w:rFonts w:ascii="Times New Roman" w:eastAsia="Times New Roman" w:hAnsi="Times New Roman" w:cs="Times New Roman"/>
          <w:b w:val="0"/>
          <w:bCs w:val="0"/>
        </w:rPr>
        <w:t xml:space="preserve">(3) </w:t>
      </w:r>
      <w:r w:rsidRPr="00AF5E01">
        <w:rPr>
          <w:rFonts w:ascii="Times New Roman" w:eastAsia="Times New Roman" w:hAnsi="Times New Roman" w:cs="Times New Roman"/>
          <w:b w:val="0"/>
          <w:bCs w:val="0"/>
        </w:rPr>
        <w:t>Opravy a údržbu tepelné přípojky</w:t>
      </w:r>
      <w:r w:rsidRPr="006913F1">
        <w:rPr>
          <w:rFonts w:ascii="Times New Roman" w:eastAsia="Times New Roman" w:hAnsi="Times New Roman" w:cs="Times New Roman"/>
          <w:b w:val="0"/>
          <w:bCs w:val="0"/>
          <w:strike/>
        </w:rPr>
        <w:t xml:space="preserve"> </w:t>
      </w:r>
      <w:bookmarkStart w:id="2" w:name="_Hlk223509528"/>
      <w:r w:rsidRPr="006913F1">
        <w:rPr>
          <w:rFonts w:ascii="Times New Roman" w:eastAsia="Times New Roman" w:hAnsi="Times New Roman" w:cs="Times New Roman"/>
          <w:b w:val="0"/>
          <w:bCs w:val="0"/>
          <w:strike/>
        </w:rPr>
        <w:t>nebo předávací stanice</w:t>
      </w:r>
      <w:bookmarkEnd w:id="2"/>
      <w:r w:rsidR="00AF5E01" w:rsidRPr="00FF391A">
        <w:rPr>
          <w:rFonts w:ascii="Times New Roman" w:eastAsia="Times New Roman" w:hAnsi="Times New Roman" w:cs="Times New Roman"/>
        </w:rPr>
        <w:t>, předávací stanice nebo tepelné sítě</w:t>
      </w:r>
      <w:r w:rsidRPr="00AF5E01">
        <w:rPr>
          <w:rFonts w:ascii="Times New Roman" w:eastAsia="Times New Roman" w:hAnsi="Times New Roman" w:cs="Times New Roman"/>
          <w:b w:val="0"/>
          <w:bCs w:val="0"/>
        </w:rPr>
        <w:t xml:space="preserve"> zajišťuje na své náklady její vlastník.</w:t>
      </w:r>
    </w:p>
    <w:p w14:paraId="796066FC" w14:textId="77777777" w:rsidR="006913F1" w:rsidRPr="006913F1" w:rsidRDefault="006913F1" w:rsidP="006913F1">
      <w:pPr>
        <w:pStyle w:val="Odstavecseseznamem"/>
        <w:widowControl w:val="0"/>
        <w:pBdr>
          <w:top w:val="nil"/>
          <w:left w:val="nil"/>
          <w:bottom w:val="nil"/>
          <w:right w:val="nil"/>
          <w:between w:val="nil"/>
        </w:pBdr>
        <w:spacing w:before="120" w:after="120"/>
        <w:ind w:left="0" w:firstLine="567"/>
        <w:contextualSpacing w:val="0"/>
        <w:jc w:val="both"/>
        <w:rPr>
          <w:rFonts w:ascii="Times New Roman" w:eastAsia="Times New Roman" w:hAnsi="Times New Roman" w:cs="Times New Roman"/>
          <w:b w:val="0"/>
          <w:bCs w:val="0"/>
        </w:rPr>
      </w:pPr>
      <w:r w:rsidRPr="006913F1">
        <w:rPr>
          <w:rFonts w:ascii="Times New Roman" w:eastAsia="Times New Roman" w:hAnsi="Times New Roman" w:cs="Times New Roman"/>
          <w:b w:val="0"/>
          <w:bCs w:val="0"/>
        </w:rPr>
        <w:t>(4) Dodavatel tepelné energie je povinen za úhradu předávací stanici určenou pouze pro jeden objekt nebo tepelnou přípojku udržovat a opravovat, pokud o to její vlastník písemně požádá.</w:t>
      </w:r>
    </w:p>
    <w:p w14:paraId="30AAC65D" w14:textId="77777777" w:rsidR="006913F1" w:rsidRPr="006913F1" w:rsidRDefault="006913F1" w:rsidP="006913F1">
      <w:pPr>
        <w:pStyle w:val="Odstavecseseznamem"/>
        <w:widowControl w:val="0"/>
        <w:pBdr>
          <w:top w:val="nil"/>
          <w:left w:val="nil"/>
          <w:bottom w:val="nil"/>
          <w:right w:val="nil"/>
          <w:between w:val="nil"/>
        </w:pBdr>
        <w:spacing w:before="120" w:after="120"/>
        <w:ind w:left="0"/>
        <w:contextualSpacing w:val="0"/>
        <w:jc w:val="both"/>
        <w:rPr>
          <w:rFonts w:ascii="Times New Roman" w:eastAsia="Times New Roman" w:hAnsi="Times New Roman" w:cs="Times New Roman"/>
          <w:b w:val="0"/>
          <w:bCs w:val="0"/>
        </w:rPr>
      </w:pPr>
    </w:p>
    <w:sectPr w:rsidR="006913F1" w:rsidRPr="006913F1">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1023" w14:textId="77777777" w:rsidR="001140C6" w:rsidRDefault="001140C6">
      <w:r>
        <w:separator/>
      </w:r>
    </w:p>
  </w:endnote>
  <w:endnote w:type="continuationSeparator" w:id="0">
    <w:p w14:paraId="5EE8D58C" w14:textId="77777777" w:rsidR="001140C6" w:rsidRDefault="0011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adea">
    <w:altName w:val="Calibri"/>
    <w:charset w:val="00"/>
    <w:family w:val="auto"/>
    <w:pitch w:val="default"/>
    <w:embedRegular r:id="rId1" w:fontKey="{AE4829DC-E796-48A8-9A33-462C3B4C1B48}"/>
    <w:embedBold r:id="rId2" w:fontKey="{6ACB042D-2E93-4160-977C-D7544BA86D85}"/>
  </w:font>
  <w:font w:name="Georgia">
    <w:panose1 w:val="02040502050405020303"/>
    <w:charset w:val="EE"/>
    <w:family w:val="roman"/>
    <w:pitch w:val="variable"/>
    <w:sig w:usb0="00000287" w:usb1="00000000" w:usb2="00000000" w:usb3="00000000" w:csb0="0000009F" w:csb1="00000000"/>
    <w:embedBoldItalic r:id="rId3" w:fontKey="{AC161B7E-7725-4575-9A11-6047997BE422}"/>
  </w:font>
  <w:font w:name="Calibri">
    <w:panose1 w:val="020F0502020204030204"/>
    <w:charset w:val="EE"/>
    <w:family w:val="swiss"/>
    <w:pitch w:val="variable"/>
    <w:sig w:usb0="E4002EFF" w:usb1="C200247B" w:usb2="00000009" w:usb3="00000000" w:csb0="000001FF" w:csb1="00000000"/>
    <w:embedRegular r:id="rId4" w:fontKey="{1E4BC4C5-7DE3-4CD7-AA81-D2DFCEF100A5}"/>
  </w:font>
  <w:font w:name="Cambria">
    <w:panose1 w:val="02040503050406030204"/>
    <w:charset w:val="EE"/>
    <w:family w:val="roman"/>
    <w:pitch w:val="variable"/>
    <w:sig w:usb0="E00006FF" w:usb1="420024FF" w:usb2="02000000" w:usb3="00000000" w:csb0="0000019F" w:csb1="00000000"/>
    <w:embedRegular r:id="rId5" w:fontKey="{97262040-A625-4C5A-97A3-3C50858DB1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5F533" w14:textId="77777777" w:rsidR="001140C6" w:rsidRDefault="001140C6">
      <w:r>
        <w:separator/>
      </w:r>
    </w:p>
  </w:footnote>
  <w:footnote w:type="continuationSeparator" w:id="0">
    <w:p w14:paraId="364C45E8" w14:textId="77777777" w:rsidR="001140C6" w:rsidRDefault="001140C6">
      <w:r>
        <w:continuationSeparator/>
      </w:r>
    </w:p>
  </w:footnote>
  <w:footnote w:id="1">
    <w:p w14:paraId="71CE0B8F" w14:textId="77777777" w:rsidR="00C11267" w:rsidRPr="005D7187" w:rsidRDefault="00C11267" w:rsidP="00C11267">
      <w:pPr>
        <w:pStyle w:val="Textpoznpodarou"/>
        <w:jc w:val="both"/>
        <w:rPr>
          <w:rFonts w:ascii="Times New Roman" w:hAnsi="Times New Roman" w:cs="Times New Roman"/>
        </w:rPr>
      </w:pPr>
      <w:r w:rsidRPr="005D7187">
        <w:rPr>
          <w:rStyle w:val="Znakapoznpodarou"/>
          <w:rFonts w:ascii="Times New Roman" w:hAnsi="Times New Roman" w:cs="Times New Roman"/>
        </w:rPr>
        <w:footnoteRef/>
      </w:r>
      <w:r w:rsidRPr="005D7187">
        <w:rPr>
          <w:rFonts w:ascii="Times New Roman" w:hAnsi="Times New Roman" w:cs="Times New Roman"/>
        </w:rPr>
        <w:t xml:space="preserve">) </w:t>
      </w:r>
      <w:r w:rsidRPr="005D7187">
        <w:rPr>
          <w:rFonts w:ascii="Times New Roman" w:eastAsia="Times New Roman" w:hAnsi="Times New Roman" w:cs="Times New Roman"/>
          <w:b w:val="0"/>
          <w:bCs w:val="0"/>
        </w:rPr>
        <w:t xml:space="preserve">Např. Tegl., P., Melzer, F.: Výklad § 509 věty druhé občanského zákoníku Co se rozumí požadavkem „provozní souvislosti“ staveb a technických zařízení s liniovou stavbou. In Advokátní deník, 2023. </w:t>
      </w:r>
      <w:r w:rsidRPr="005D7187">
        <w:rPr>
          <w:rFonts w:ascii="Times New Roman" w:hAnsi="Times New Roman" w:cs="Times New Roman"/>
        </w:rPr>
        <w:t xml:space="preserve"> </w:t>
      </w:r>
    </w:p>
  </w:footnote>
  <w:footnote w:id="2">
    <w:p w14:paraId="089E5960" w14:textId="77777777" w:rsidR="00C11267" w:rsidRPr="005D7187" w:rsidRDefault="00C11267" w:rsidP="00C11267">
      <w:pPr>
        <w:pStyle w:val="Textpoznpodarou"/>
        <w:jc w:val="both"/>
      </w:pPr>
      <w:r w:rsidRPr="005D7187">
        <w:rPr>
          <w:rFonts w:ascii="Times New Roman" w:eastAsia="Times New Roman" w:hAnsi="Times New Roman" w:cs="Times New Roman"/>
          <w:b w:val="0"/>
          <w:bCs w:val="0"/>
          <w:vertAlign w:val="superscript"/>
        </w:rPr>
        <w:footnoteRef/>
      </w:r>
      <w:r w:rsidRPr="005D7187">
        <w:rPr>
          <w:rFonts w:ascii="Times New Roman" w:eastAsia="Times New Roman" w:hAnsi="Times New Roman" w:cs="Times New Roman"/>
          <w:b w:val="0"/>
          <w:bCs w:val="0"/>
        </w:rPr>
        <w:t>) Viz. § 79 odst. 2 upravující vlastnictví tepelné přípojky a předávací stanice, z čehož vyplývá, že tepelná přípojka i předávací stanice musí být věcí v právním smyslu, jinak by nemohly být předmětem právních vztahů)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50C6"/>
    <w:multiLevelType w:val="hybridMultilevel"/>
    <w:tmpl w:val="D8A4C9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5D171155"/>
    <w:multiLevelType w:val="hybridMultilevel"/>
    <w:tmpl w:val="4B92A6CC"/>
    <w:lvl w:ilvl="0" w:tplc="8F2C0B34">
      <w:start w:val="1"/>
      <w:numFmt w:val="bullet"/>
      <w:lvlText w:val="•"/>
      <w:lvlJc w:val="left"/>
      <w:pPr>
        <w:tabs>
          <w:tab w:val="num" w:pos="720"/>
        </w:tabs>
        <w:ind w:left="720" w:hanging="360"/>
      </w:pPr>
      <w:rPr>
        <w:rFonts w:ascii="Arial" w:hAnsi="Arial" w:hint="default"/>
      </w:rPr>
    </w:lvl>
    <w:lvl w:ilvl="1" w:tplc="1206DB2E" w:tentative="1">
      <w:start w:val="1"/>
      <w:numFmt w:val="bullet"/>
      <w:lvlText w:val="•"/>
      <w:lvlJc w:val="left"/>
      <w:pPr>
        <w:tabs>
          <w:tab w:val="num" w:pos="1440"/>
        </w:tabs>
        <w:ind w:left="1440" w:hanging="360"/>
      </w:pPr>
      <w:rPr>
        <w:rFonts w:ascii="Arial" w:hAnsi="Arial" w:hint="default"/>
      </w:rPr>
    </w:lvl>
    <w:lvl w:ilvl="2" w:tplc="191A3BAC" w:tentative="1">
      <w:start w:val="1"/>
      <w:numFmt w:val="bullet"/>
      <w:lvlText w:val="•"/>
      <w:lvlJc w:val="left"/>
      <w:pPr>
        <w:tabs>
          <w:tab w:val="num" w:pos="2160"/>
        </w:tabs>
        <w:ind w:left="2160" w:hanging="360"/>
      </w:pPr>
      <w:rPr>
        <w:rFonts w:ascii="Arial" w:hAnsi="Arial" w:hint="default"/>
      </w:rPr>
    </w:lvl>
    <w:lvl w:ilvl="3" w:tplc="B340557C" w:tentative="1">
      <w:start w:val="1"/>
      <w:numFmt w:val="bullet"/>
      <w:lvlText w:val="•"/>
      <w:lvlJc w:val="left"/>
      <w:pPr>
        <w:tabs>
          <w:tab w:val="num" w:pos="2880"/>
        </w:tabs>
        <w:ind w:left="2880" w:hanging="360"/>
      </w:pPr>
      <w:rPr>
        <w:rFonts w:ascii="Arial" w:hAnsi="Arial" w:hint="default"/>
      </w:rPr>
    </w:lvl>
    <w:lvl w:ilvl="4" w:tplc="0E2E650E" w:tentative="1">
      <w:start w:val="1"/>
      <w:numFmt w:val="bullet"/>
      <w:lvlText w:val="•"/>
      <w:lvlJc w:val="left"/>
      <w:pPr>
        <w:tabs>
          <w:tab w:val="num" w:pos="3600"/>
        </w:tabs>
        <w:ind w:left="3600" w:hanging="360"/>
      </w:pPr>
      <w:rPr>
        <w:rFonts w:ascii="Arial" w:hAnsi="Arial" w:hint="default"/>
      </w:rPr>
    </w:lvl>
    <w:lvl w:ilvl="5" w:tplc="2856EC70" w:tentative="1">
      <w:start w:val="1"/>
      <w:numFmt w:val="bullet"/>
      <w:lvlText w:val="•"/>
      <w:lvlJc w:val="left"/>
      <w:pPr>
        <w:tabs>
          <w:tab w:val="num" w:pos="4320"/>
        </w:tabs>
        <w:ind w:left="4320" w:hanging="360"/>
      </w:pPr>
      <w:rPr>
        <w:rFonts w:ascii="Arial" w:hAnsi="Arial" w:hint="default"/>
      </w:rPr>
    </w:lvl>
    <w:lvl w:ilvl="6" w:tplc="3A088CEA" w:tentative="1">
      <w:start w:val="1"/>
      <w:numFmt w:val="bullet"/>
      <w:lvlText w:val="•"/>
      <w:lvlJc w:val="left"/>
      <w:pPr>
        <w:tabs>
          <w:tab w:val="num" w:pos="5040"/>
        </w:tabs>
        <w:ind w:left="5040" w:hanging="360"/>
      </w:pPr>
      <w:rPr>
        <w:rFonts w:ascii="Arial" w:hAnsi="Arial" w:hint="default"/>
      </w:rPr>
    </w:lvl>
    <w:lvl w:ilvl="7" w:tplc="86C820FC" w:tentative="1">
      <w:start w:val="1"/>
      <w:numFmt w:val="bullet"/>
      <w:lvlText w:val="•"/>
      <w:lvlJc w:val="left"/>
      <w:pPr>
        <w:tabs>
          <w:tab w:val="num" w:pos="5760"/>
        </w:tabs>
        <w:ind w:left="5760" w:hanging="360"/>
      </w:pPr>
      <w:rPr>
        <w:rFonts w:ascii="Arial" w:hAnsi="Arial" w:hint="default"/>
      </w:rPr>
    </w:lvl>
    <w:lvl w:ilvl="8" w:tplc="E2E4CF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9580366"/>
    <w:multiLevelType w:val="multilevel"/>
    <w:tmpl w:val="BF14EAB8"/>
    <w:lvl w:ilvl="0">
      <w:start w:val="1"/>
      <w:numFmt w:val="upperRoman"/>
      <w:lvlText w:val="%1."/>
      <w:lvlJc w:val="left"/>
      <w:pPr>
        <w:ind w:left="360" w:hanging="360"/>
      </w:pPr>
      <w:rPr>
        <w:b/>
        <w:bCs w:val="0"/>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7E0E221B"/>
    <w:multiLevelType w:val="multilevel"/>
    <w:tmpl w:val="504C0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6639727">
    <w:abstractNumId w:val="3"/>
  </w:num>
  <w:num w:numId="2" w16cid:durableId="622319">
    <w:abstractNumId w:val="0"/>
  </w:num>
  <w:num w:numId="3" w16cid:durableId="1041634444">
    <w:abstractNumId w:val="1"/>
  </w:num>
  <w:num w:numId="4" w16cid:durableId="423307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B6E"/>
    <w:rsid w:val="00013A0D"/>
    <w:rsid w:val="000158D2"/>
    <w:rsid w:val="000241F8"/>
    <w:rsid w:val="00024BEB"/>
    <w:rsid w:val="000434D5"/>
    <w:rsid w:val="0006777C"/>
    <w:rsid w:val="00071360"/>
    <w:rsid w:val="0009264A"/>
    <w:rsid w:val="000C11D2"/>
    <w:rsid w:val="000F0548"/>
    <w:rsid w:val="00100B79"/>
    <w:rsid w:val="001140C6"/>
    <w:rsid w:val="00144842"/>
    <w:rsid w:val="00174522"/>
    <w:rsid w:val="00191160"/>
    <w:rsid w:val="001E7F01"/>
    <w:rsid w:val="001F0F61"/>
    <w:rsid w:val="001F1F79"/>
    <w:rsid w:val="001F54CA"/>
    <w:rsid w:val="00204299"/>
    <w:rsid w:val="002306B8"/>
    <w:rsid w:val="00237401"/>
    <w:rsid w:val="002404CF"/>
    <w:rsid w:val="00250F2B"/>
    <w:rsid w:val="00252216"/>
    <w:rsid w:val="00263310"/>
    <w:rsid w:val="00282E27"/>
    <w:rsid w:val="002A59E3"/>
    <w:rsid w:val="002B3E70"/>
    <w:rsid w:val="002B6266"/>
    <w:rsid w:val="002C5D69"/>
    <w:rsid w:val="00323C0F"/>
    <w:rsid w:val="003313E1"/>
    <w:rsid w:val="00352E0F"/>
    <w:rsid w:val="003552CB"/>
    <w:rsid w:val="003A4A62"/>
    <w:rsid w:val="003B03B6"/>
    <w:rsid w:val="003B3A0F"/>
    <w:rsid w:val="003C6832"/>
    <w:rsid w:val="003D5F38"/>
    <w:rsid w:val="003E434E"/>
    <w:rsid w:val="004051A3"/>
    <w:rsid w:val="00406B0E"/>
    <w:rsid w:val="00416986"/>
    <w:rsid w:val="004407E3"/>
    <w:rsid w:val="004461D6"/>
    <w:rsid w:val="004470AC"/>
    <w:rsid w:val="00453BB5"/>
    <w:rsid w:val="0045749D"/>
    <w:rsid w:val="00470A39"/>
    <w:rsid w:val="00480FD1"/>
    <w:rsid w:val="00496259"/>
    <w:rsid w:val="00496D9D"/>
    <w:rsid w:val="004A29A9"/>
    <w:rsid w:val="004A2D70"/>
    <w:rsid w:val="004E0B6E"/>
    <w:rsid w:val="004E2C13"/>
    <w:rsid w:val="00507FE1"/>
    <w:rsid w:val="00511619"/>
    <w:rsid w:val="005116A1"/>
    <w:rsid w:val="005150F6"/>
    <w:rsid w:val="00540DED"/>
    <w:rsid w:val="00554B25"/>
    <w:rsid w:val="005658CC"/>
    <w:rsid w:val="00583979"/>
    <w:rsid w:val="005C6B60"/>
    <w:rsid w:val="005D265F"/>
    <w:rsid w:val="005D3ABE"/>
    <w:rsid w:val="005D7187"/>
    <w:rsid w:val="00605E37"/>
    <w:rsid w:val="00607238"/>
    <w:rsid w:val="00624EC5"/>
    <w:rsid w:val="006434BC"/>
    <w:rsid w:val="0064580D"/>
    <w:rsid w:val="00651EC2"/>
    <w:rsid w:val="0066723F"/>
    <w:rsid w:val="006913F1"/>
    <w:rsid w:val="0069689E"/>
    <w:rsid w:val="006C2340"/>
    <w:rsid w:val="006D015D"/>
    <w:rsid w:val="006D2C23"/>
    <w:rsid w:val="006E2D48"/>
    <w:rsid w:val="00700758"/>
    <w:rsid w:val="00703288"/>
    <w:rsid w:val="00705233"/>
    <w:rsid w:val="007068CC"/>
    <w:rsid w:val="0074738B"/>
    <w:rsid w:val="00747FDC"/>
    <w:rsid w:val="00754E45"/>
    <w:rsid w:val="00755BA4"/>
    <w:rsid w:val="00756038"/>
    <w:rsid w:val="00761AE1"/>
    <w:rsid w:val="00762711"/>
    <w:rsid w:val="0077536C"/>
    <w:rsid w:val="00783FE3"/>
    <w:rsid w:val="007B02A6"/>
    <w:rsid w:val="007C57B7"/>
    <w:rsid w:val="007D1007"/>
    <w:rsid w:val="00811E3C"/>
    <w:rsid w:val="0082793C"/>
    <w:rsid w:val="008334DB"/>
    <w:rsid w:val="00844E81"/>
    <w:rsid w:val="00850465"/>
    <w:rsid w:val="00874B2F"/>
    <w:rsid w:val="008762F4"/>
    <w:rsid w:val="00876691"/>
    <w:rsid w:val="00896E52"/>
    <w:rsid w:val="008C5F90"/>
    <w:rsid w:val="008D0885"/>
    <w:rsid w:val="008D6B01"/>
    <w:rsid w:val="008E6649"/>
    <w:rsid w:val="008F0D79"/>
    <w:rsid w:val="00905EDB"/>
    <w:rsid w:val="00913B98"/>
    <w:rsid w:val="00935B41"/>
    <w:rsid w:val="0094165A"/>
    <w:rsid w:val="0094294A"/>
    <w:rsid w:val="009550D4"/>
    <w:rsid w:val="00996399"/>
    <w:rsid w:val="009B08B5"/>
    <w:rsid w:val="009B276A"/>
    <w:rsid w:val="009C0C69"/>
    <w:rsid w:val="009E5490"/>
    <w:rsid w:val="00A077FE"/>
    <w:rsid w:val="00A12AEC"/>
    <w:rsid w:val="00A1507E"/>
    <w:rsid w:val="00A23F59"/>
    <w:rsid w:val="00A3045C"/>
    <w:rsid w:val="00A42F83"/>
    <w:rsid w:val="00A56C56"/>
    <w:rsid w:val="00A57A9A"/>
    <w:rsid w:val="00A77B8F"/>
    <w:rsid w:val="00A844BF"/>
    <w:rsid w:val="00A94AB4"/>
    <w:rsid w:val="00AB2625"/>
    <w:rsid w:val="00AB5747"/>
    <w:rsid w:val="00AC4601"/>
    <w:rsid w:val="00AF5E01"/>
    <w:rsid w:val="00B011A6"/>
    <w:rsid w:val="00B03D38"/>
    <w:rsid w:val="00B07723"/>
    <w:rsid w:val="00B2712D"/>
    <w:rsid w:val="00B328E2"/>
    <w:rsid w:val="00B40C3C"/>
    <w:rsid w:val="00B50387"/>
    <w:rsid w:val="00B57D0E"/>
    <w:rsid w:val="00B631B1"/>
    <w:rsid w:val="00B8611E"/>
    <w:rsid w:val="00BD560A"/>
    <w:rsid w:val="00BD625C"/>
    <w:rsid w:val="00BE178D"/>
    <w:rsid w:val="00C03396"/>
    <w:rsid w:val="00C07998"/>
    <w:rsid w:val="00C11267"/>
    <w:rsid w:val="00C1700F"/>
    <w:rsid w:val="00C411C1"/>
    <w:rsid w:val="00C522DA"/>
    <w:rsid w:val="00C75F32"/>
    <w:rsid w:val="00CA2FF2"/>
    <w:rsid w:val="00CA3B59"/>
    <w:rsid w:val="00CB1EF0"/>
    <w:rsid w:val="00CD607B"/>
    <w:rsid w:val="00CE6913"/>
    <w:rsid w:val="00D76293"/>
    <w:rsid w:val="00D95AF9"/>
    <w:rsid w:val="00DA447D"/>
    <w:rsid w:val="00DF750D"/>
    <w:rsid w:val="00E00717"/>
    <w:rsid w:val="00E208C8"/>
    <w:rsid w:val="00E23ED2"/>
    <w:rsid w:val="00E24E78"/>
    <w:rsid w:val="00E407F3"/>
    <w:rsid w:val="00E44DC2"/>
    <w:rsid w:val="00E457D2"/>
    <w:rsid w:val="00E57984"/>
    <w:rsid w:val="00E66F93"/>
    <w:rsid w:val="00E7139E"/>
    <w:rsid w:val="00E72BCE"/>
    <w:rsid w:val="00E83ECF"/>
    <w:rsid w:val="00E83F58"/>
    <w:rsid w:val="00EA1745"/>
    <w:rsid w:val="00EA3712"/>
    <w:rsid w:val="00EB2FCD"/>
    <w:rsid w:val="00F36BA2"/>
    <w:rsid w:val="00F6586E"/>
    <w:rsid w:val="00F73367"/>
    <w:rsid w:val="00F874D2"/>
    <w:rsid w:val="00F90CCE"/>
    <w:rsid w:val="00F911FC"/>
    <w:rsid w:val="00FA4C6D"/>
    <w:rsid w:val="00FB3485"/>
    <w:rsid w:val="00FB3D19"/>
    <w:rsid w:val="00FB7F0A"/>
    <w:rsid w:val="00FC2BD6"/>
    <w:rsid w:val="00FC3145"/>
    <w:rsid w:val="00FF1437"/>
    <w:rsid w:val="00FF391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9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adea" w:eastAsia="Caladea" w:hAnsi="Caladea" w:cs="Caladea"/>
        <w:b/>
        <w:bCs/>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80" w:after="120"/>
      <w:outlineLvl w:val="0"/>
    </w:pPr>
    <w:rPr>
      <w:sz w:val="48"/>
      <w:szCs w:val="48"/>
    </w:rPr>
  </w:style>
  <w:style w:type="paragraph" w:styleId="Nadpis2">
    <w:name w:val="heading 2"/>
    <w:basedOn w:val="Normln"/>
    <w:next w:val="Normln"/>
    <w:uiPriority w:val="9"/>
    <w:semiHidden/>
    <w:unhideWhenUsed/>
    <w:qFormat/>
    <w:pPr>
      <w:keepNext/>
      <w:keepLines/>
      <w:spacing w:before="360" w:after="80"/>
      <w:outlineLvl w:val="1"/>
    </w:pPr>
    <w:rPr>
      <w:sz w:val="36"/>
      <w:szCs w:val="36"/>
    </w:rPr>
  </w:style>
  <w:style w:type="paragraph" w:styleId="Nadpis3">
    <w:name w:val="heading 3"/>
    <w:basedOn w:val="Normln"/>
    <w:next w:val="Normln"/>
    <w:uiPriority w:val="9"/>
    <w:semiHidden/>
    <w:unhideWhenUsed/>
    <w:qFormat/>
    <w:pPr>
      <w:keepNext/>
      <w:keepLines/>
      <w:spacing w:before="280" w:after="80"/>
      <w:outlineLvl w:val="2"/>
    </w:pPr>
    <w:rPr>
      <w:sz w:val="28"/>
      <w:szCs w:val="28"/>
    </w:rPr>
  </w:style>
  <w:style w:type="paragraph" w:styleId="Nadpis4">
    <w:name w:val="heading 4"/>
    <w:basedOn w:val="Normln"/>
    <w:next w:val="Normln"/>
    <w:uiPriority w:val="9"/>
    <w:semiHidden/>
    <w:unhideWhenUsed/>
    <w:qFormat/>
    <w:pPr>
      <w:keepNext/>
      <w:keepLines/>
      <w:spacing w:before="240" w:after="40"/>
      <w:outlineLvl w:val="3"/>
    </w:pPr>
  </w:style>
  <w:style w:type="paragraph" w:styleId="Nadpis5">
    <w:name w:val="heading 5"/>
    <w:basedOn w:val="Normln"/>
    <w:next w:val="Normln"/>
    <w:uiPriority w:val="9"/>
    <w:semiHidden/>
    <w:unhideWhenUsed/>
    <w:qFormat/>
    <w:pPr>
      <w:keepNext/>
      <w:keepLines/>
      <w:spacing w:before="220" w:after="40"/>
      <w:outlineLvl w:val="4"/>
    </w:pPr>
    <w:rPr>
      <w:sz w:val="22"/>
      <w:szCs w:val="22"/>
    </w:rPr>
  </w:style>
  <w:style w:type="paragraph" w:styleId="Nadpis6">
    <w:name w:val="heading 6"/>
    <w:basedOn w:val="Normln"/>
    <w:next w:val="Normln"/>
    <w:uiPriority w:val="9"/>
    <w:semiHidden/>
    <w:unhideWhenUsed/>
    <w:qFormat/>
    <w:pPr>
      <w:keepNext/>
      <w:keepLines/>
      <w:spacing w:before="200" w:after="40"/>
      <w:outlineLvl w:val="5"/>
    </w:pPr>
    <w:rPr>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before="480" w:after="120"/>
    </w:pPr>
    <w:rPr>
      <w:sz w:val="72"/>
      <w:szCs w:val="72"/>
    </w:rPr>
  </w:style>
  <w:style w:type="paragraph" w:styleId="Podnadpis">
    <w:name w:val="Subtitle"/>
    <w:basedOn w:val="Normln"/>
    <w:next w:val="Normln"/>
    <w:uiPriority w:val="11"/>
    <w:qFormat/>
    <w:pPr>
      <w:keepNext/>
      <w:keepLines/>
      <w:spacing w:before="360" w:after="80"/>
    </w:pPr>
    <w:rPr>
      <w:rFonts w:ascii="Georgia" w:eastAsia="Georgia" w:hAnsi="Georgia" w:cs="Georgia"/>
      <w:i/>
      <w:iCs/>
      <w:color w:val="666666"/>
      <w:sz w:val="48"/>
      <w:szCs w:val="48"/>
    </w:rPr>
  </w:style>
  <w:style w:type="paragraph" w:styleId="Odstavecseseznamem">
    <w:name w:val="List Paragraph"/>
    <w:basedOn w:val="Normln"/>
    <w:uiPriority w:val="34"/>
    <w:qFormat/>
    <w:rsid w:val="00507FE1"/>
    <w:pPr>
      <w:ind w:left="720"/>
      <w:contextualSpacing/>
    </w:pPr>
  </w:style>
  <w:style w:type="paragraph" w:styleId="Textpoznpodarou">
    <w:name w:val="footnote text"/>
    <w:basedOn w:val="Normln"/>
    <w:link w:val="TextpoznpodarouChar"/>
    <w:uiPriority w:val="99"/>
    <w:semiHidden/>
    <w:unhideWhenUsed/>
    <w:rsid w:val="004461D6"/>
    <w:rPr>
      <w:sz w:val="20"/>
      <w:szCs w:val="20"/>
    </w:rPr>
  </w:style>
  <w:style w:type="character" w:customStyle="1" w:styleId="TextpoznpodarouChar">
    <w:name w:val="Text pozn. pod čarou Char"/>
    <w:basedOn w:val="Standardnpsmoodstavce"/>
    <w:link w:val="Textpoznpodarou"/>
    <w:uiPriority w:val="99"/>
    <w:semiHidden/>
    <w:rsid w:val="004461D6"/>
    <w:rPr>
      <w:sz w:val="20"/>
      <w:szCs w:val="20"/>
    </w:rPr>
  </w:style>
  <w:style w:type="character" w:styleId="Znakapoznpodarou">
    <w:name w:val="footnote reference"/>
    <w:basedOn w:val="Standardnpsmoodstavce"/>
    <w:semiHidden/>
    <w:unhideWhenUsed/>
    <w:rsid w:val="004461D6"/>
    <w:rPr>
      <w:vertAlign w:val="superscript"/>
    </w:rPr>
  </w:style>
  <w:style w:type="character" w:styleId="Hypertextovodkaz">
    <w:name w:val="Hyperlink"/>
    <w:semiHidden/>
    <w:unhideWhenUsed/>
    <w:rsid w:val="00E83F58"/>
    <w:rPr>
      <w:color w:val="0000FF"/>
      <w:u w:val="single"/>
    </w:rPr>
  </w:style>
  <w:style w:type="paragraph" w:styleId="Revize">
    <w:name w:val="Revision"/>
    <w:hidden/>
    <w:uiPriority w:val="99"/>
    <w:semiHidden/>
    <w:rsid w:val="00C11267"/>
  </w:style>
  <w:style w:type="paragraph" w:styleId="Zhlav">
    <w:name w:val="header"/>
    <w:basedOn w:val="Normln"/>
    <w:link w:val="ZhlavChar"/>
    <w:uiPriority w:val="99"/>
    <w:unhideWhenUsed/>
    <w:rsid w:val="0069689E"/>
    <w:pPr>
      <w:tabs>
        <w:tab w:val="center" w:pos="4536"/>
        <w:tab w:val="right" w:pos="9072"/>
      </w:tabs>
    </w:pPr>
  </w:style>
  <w:style w:type="character" w:customStyle="1" w:styleId="ZhlavChar">
    <w:name w:val="Záhlaví Char"/>
    <w:basedOn w:val="Standardnpsmoodstavce"/>
    <w:link w:val="Zhlav"/>
    <w:uiPriority w:val="99"/>
    <w:rsid w:val="0069689E"/>
  </w:style>
  <w:style w:type="paragraph" w:styleId="Zpat">
    <w:name w:val="footer"/>
    <w:basedOn w:val="Normln"/>
    <w:link w:val="ZpatChar"/>
    <w:uiPriority w:val="99"/>
    <w:unhideWhenUsed/>
    <w:rsid w:val="0069689E"/>
    <w:pPr>
      <w:tabs>
        <w:tab w:val="center" w:pos="4536"/>
        <w:tab w:val="right" w:pos="9072"/>
      </w:tabs>
    </w:pPr>
  </w:style>
  <w:style w:type="character" w:customStyle="1" w:styleId="ZpatChar">
    <w:name w:val="Zápatí Char"/>
    <w:basedOn w:val="Standardnpsmoodstavce"/>
    <w:link w:val="Zpat"/>
    <w:uiPriority w:val="99"/>
    <w:rsid w:val="00696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36C02A-5058-4D94-B3BD-BA0F0946E50E}">
  <we:reference id="wa200005134" version="1.6.0.0" store="cs-CZ" storeType="OMEX"/>
  <we:alternateReferences>
    <we:reference id="wa200005134" version="1.6.0.0" store="WA20000513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AB197-C501-4EFE-AC4D-3FBEAAB416CD}">
  <ds:schemaRefs>
    <ds:schemaRef ds:uri="http://schemas.openxmlformats.org/officeDocument/2006/bibliography"/>
  </ds:schemaRefs>
</ds:datastoreItem>
</file>

<file path=docMetadata/LabelInfo.xml><?xml version="1.0" encoding="utf-8"?>
<clbl:labelList xmlns:clbl="http://schemas.microsoft.com/office/2020/mipLabelMetadata">
  <clbl:label id="{11f6a6dc-c396-49f6-96f2-ee55ed22e261}" enabled="1" method="Standard" siteId="{d3f10f6d-4a4d-4cde-acb6-284a54d78b3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1017</Words>
  <Characters>6001</Characters>
  <Application>Microsoft Office Word</Application>
  <DocSecurity>0</DocSecurity>
  <Lines>50</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2026-03-10T09:15:00Z</dcterms:created>
  <dcterms:modified xsi:type="dcterms:W3CDTF">2026-03-10T09:15:00Z</dcterms:modified>
</cp:coreProperties>
</file>