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64FD" w14:textId="77777777" w:rsidR="00465DC6" w:rsidRPr="003C54F2" w:rsidRDefault="00465DC6" w:rsidP="00465DC6">
      <w:pPr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14:ligatures w14:val="none"/>
        </w:rPr>
      </w:pPr>
      <w:r w:rsidRPr="003C54F2">
        <w:rPr>
          <w:rFonts w:ascii="Times New Roman" w:eastAsia="Times New Roman" w:hAnsi="Times New Roman" w:cs="Times New Roman"/>
          <w:b/>
          <w:bCs/>
          <w:noProof/>
          <w:kern w:val="28"/>
          <w:lang w:eastAsia="cs-CZ"/>
          <w14:ligatures w14:val="none"/>
        </w:rPr>
        <w:drawing>
          <wp:inline distT="0" distB="0" distL="0" distR="0" wp14:anchorId="7B6CC382" wp14:editId="16953FA0">
            <wp:extent cx="2082800" cy="108585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03AC" w14:textId="77777777" w:rsidR="00465DC6" w:rsidRPr="008E49CB" w:rsidRDefault="00465DC6" w:rsidP="00465DC6">
      <w:pPr>
        <w:keepNext/>
        <w:spacing w:before="120" w:after="120" w:line="276" w:lineRule="auto"/>
        <w:jc w:val="center"/>
        <w:rPr>
          <w:rFonts w:ascii="Times New Roman" w:eastAsia="Times New Roman" w:hAnsi="Times New Roman" w:cs="Times New Roman"/>
          <w:sz w:val="22"/>
          <w:lang w:eastAsia="zh-CN" w:bidi="hi-IN"/>
          <w14:ligatures w14:val="none"/>
        </w:rPr>
      </w:pPr>
    </w:p>
    <w:p w14:paraId="30C69515" w14:textId="77777777" w:rsidR="00465DC6" w:rsidRPr="008E49CB" w:rsidRDefault="00465DC6" w:rsidP="00465DC6">
      <w:pPr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2"/>
          <w14:ligatures w14:val="none"/>
        </w:rPr>
      </w:pPr>
      <w:r w:rsidRPr="008E49CB">
        <w:rPr>
          <w:rFonts w:ascii="Times New Roman" w:eastAsia="Times New Roman" w:hAnsi="Times New Roman" w:cs="Times New Roman"/>
          <w:b/>
          <w:bCs/>
          <w:kern w:val="28"/>
          <w:sz w:val="22"/>
          <w14:ligatures w14:val="none"/>
        </w:rPr>
        <w:t>PARLAMENT ČESKÉ REPUBLIKY</w:t>
      </w:r>
    </w:p>
    <w:p w14:paraId="4D5217ED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Poslanecká sněmovna</w:t>
      </w:r>
    </w:p>
    <w:p w14:paraId="616CBC02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2026</w:t>
      </w:r>
    </w:p>
    <w:p w14:paraId="23757B8F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X. volební období</w:t>
      </w:r>
    </w:p>
    <w:p w14:paraId="6D11E6D3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___________________________________________________________</w:t>
      </w:r>
    </w:p>
    <w:p w14:paraId="62D13099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0E4258D8" w14:textId="4BF6FB55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  <w:r w:rsidRPr="008E49CB"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  <w:t>Účinnost</w:t>
      </w:r>
    </w:p>
    <w:p w14:paraId="2257023B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7EFD47E7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  <w:r w:rsidRPr="008E49CB"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  <w:t>Pozměňovací návrh</w:t>
      </w:r>
    </w:p>
    <w:p w14:paraId="55BC6B24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Arial" w:hAnsi="Times New Roman" w:cs="Times New Roman"/>
          <w:b/>
          <w:sz w:val="22"/>
          <w14:ligatures w14:val="none"/>
        </w:rPr>
      </w:pPr>
    </w:p>
    <w:p w14:paraId="38673898" w14:textId="64FEA662" w:rsidR="00465DC6" w:rsidRPr="008E49CB" w:rsidRDefault="00247AF4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  <w:r w:rsidRPr="008E49CB"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  <w:t>poslankyně Zuzany Ožanové</w:t>
      </w:r>
    </w:p>
    <w:p w14:paraId="6AF2E400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0321CA77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4260F173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1C1BA7CB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6C00C726" w14:textId="77777777" w:rsidR="00465DC6" w:rsidRPr="006E333F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b/>
          <w:bCs/>
          <w:sz w:val="22"/>
          <w14:ligatures w14:val="none"/>
        </w:rPr>
        <w:t xml:space="preserve">ke komplexnímu </w:t>
      </w:r>
      <w:r w:rsidRPr="006E333F">
        <w:rPr>
          <w:rFonts w:ascii="Times New Roman" w:eastAsia="Calibri" w:hAnsi="Times New Roman" w:cs="Times New Roman"/>
          <w:b/>
          <w:bCs/>
          <w:sz w:val="22"/>
          <w14:ligatures w14:val="none"/>
        </w:rPr>
        <w:t>pozměňovacímu návrhu poslanců Zuzany Mrázové, Karla Havlíčka, Igora Červeného, Radima Fialy, Vojtěcha Krňanského, Borise Šťastného, Evy Fialové, Barbory Rázga a Tomáše Doležala k návrhu zákona, kterým se mění zákon č. 283/2021 Sb., stavební zákon, ve znění pozdějších předpisů, a další související zákony</w:t>
      </w:r>
    </w:p>
    <w:p w14:paraId="74E4E3AE" w14:textId="77777777" w:rsidR="00465DC6" w:rsidRPr="006E333F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  <w:r w:rsidRPr="006E333F">
        <w:rPr>
          <w:rFonts w:ascii="Times New Roman" w:eastAsia="Calibri" w:hAnsi="Times New Roman" w:cs="Times New Roman"/>
          <w:b/>
          <w:bCs/>
          <w:sz w:val="22"/>
          <w14:ligatures w14:val="none"/>
        </w:rPr>
        <w:t>/sněmovní tisk 67/</w:t>
      </w:r>
    </w:p>
    <w:p w14:paraId="0BFF7330" w14:textId="77777777" w:rsidR="00465DC6" w:rsidRPr="006E333F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61F2BE58" w14:textId="77777777" w:rsidR="00465DC6" w:rsidRPr="006E333F" w:rsidRDefault="00465DC6" w:rsidP="00465DC6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387D21DE" w14:textId="77777777" w:rsidR="00465DC6" w:rsidRPr="006E333F" w:rsidRDefault="00465DC6" w:rsidP="00465DC6">
      <w:pPr>
        <w:spacing w:before="120" w:after="120" w:line="276" w:lineRule="auto"/>
        <w:rPr>
          <w:rFonts w:ascii="Times New Roman" w:eastAsia="Calibri" w:hAnsi="Times New Roman" w:cs="Times New Roman"/>
          <w:sz w:val="22"/>
          <w14:ligatures w14:val="none"/>
        </w:rPr>
      </w:pPr>
      <w:r w:rsidRPr="006E333F">
        <w:rPr>
          <w:rFonts w:ascii="Times New Roman" w:eastAsia="Calibri" w:hAnsi="Times New Roman" w:cs="Times New Roman"/>
          <w:sz w:val="22"/>
          <w14:ligatures w14:val="none"/>
        </w:rPr>
        <w:br w:type="page"/>
      </w:r>
    </w:p>
    <w:p w14:paraId="33890AB4" w14:textId="77777777" w:rsidR="00465DC6" w:rsidRPr="006E333F" w:rsidRDefault="00465DC6" w:rsidP="00465DC6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2"/>
          <w14:ligatures w14:val="none"/>
        </w:rPr>
      </w:pPr>
      <w:r w:rsidRPr="006E333F">
        <w:rPr>
          <w:rFonts w:ascii="Times New Roman" w:eastAsia="Calibri" w:hAnsi="Times New Roman" w:cs="Times New Roman"/>
          <w:sz w:val="22"/>
          <w14:ligatures w14:val="none"/>
        </w:rPr>
        <w:lastRenderedPageBreak/>
        <w:t xml:space="preserve">Komplexní pozměňovací návrh k návrhu zákona, kterým se mění zákon č. 283/2021 Sb., stavební zákon, ve znění pozdějších předpisů, a další související zákony /sněmovní tisk 67/, se mění takto: </w:t>
      </w:r>
    </w:p>
    <w:p w14:paraId="0DAC291C" w14:textId="64506BD0" w:rsidR="00A60A92" w:rsidRPr="006E333F" w:rsidRDefault="00A60A92" w:rsidP="006E333F">
      <w:pPr>
        <w:pStyle w:val="Odstavecseseznamem"/>
        <w:widowControl w:val="0"/>
        <w:numPr>
          <w:ilvl w:val="0"/>
          <w:numId w:val="9"/>
        </w:numPr>
        <w:spacing w:before="120" w:after="120" w:line="276" w:lineRule="auto"/>
        <w:rPr>
          <w:rFonts w:ascii="Times New Roman" w:eastAsia="Times New Roman" w:hAnsi="Times New Roman" w:cs="Times New Roman"/>
          <w:bCs/>
          <w:sz w:val="22"/>
          <w:lang w:eastAsia="cs-CZ"/>
        </w:rPr>
      </w:pPr>
      <w:r w:rsidRPr="006E333F">
        <w:rPr>
          <w:rFonts w:ascii="Times New Roman" w:eastAsia="Times New Roman" w:hAnsi="Times New Roman" w:cs="Times New Roman"/>
          <w:bCs/>
          <w:sz w:val="22"/>
          <w:lang w:eastAsia="cs-CZ"/>
        </w:rPr>
        <w:t>Část padesátá třetí včetně nadpisu zní:</w:t>
      </w:r>
    </w:p>
    <w:p w14:paraId="0016A173" w14:textId="20343399" w:rsidR="001D4CDD" w:rsidRPr="006E333F" w:rsidRDefault="00A60A92" w:rsidP="00104F0C">
      <w:pPr>
        <w:widowControl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bCs/>
          <w:sz w:val="22"/>
          <w:lang w:eastAsia="cs-CZ"/>
        </w:rPr>
      </w:pPr>
      <w:r w:rsidRPr="006E333F">
        <w:rPr>
          <w:rFonts w:ascii="Times New Roman" w:eastAsia="Times New Roman" w:hAnsi="Times New Roman" w:cs="Times New Roman"/>
          <w:bCs/>
          <w:sz w:val="22"/>
          <w:lang w:eastAsia="cs-CZ"/>
        </w:rPr>
        <w:t>„</w:t>
      </w:r>
      <w:r w:rsidR="001D4CDD" w:rsidRPr="006E333F">
        <w:rPr>
          <w:rFonts w:ascii="Times New Roman" w:eastAsia="Times New Roman" w:hAnsi="Times New Roman" w:cs="Times New Roman"/>
          <w:bCs/>
          <w:sz w:val="22"/>
          <w:lang w:eastAsia="cs-CZ"/>
        </w:rPr>
        <w:t>ČÁST PADESÁTÁ TŘETÍ</w:t>
      </w:r>
    </w:p>
    <w:p w14:paraId="7F3C6D60" w14:textId="77777777" w:rsidR="001D4CDD" w:rsidRPr="006E333F" w:rsidRDefault="001D4CDD" w:rsidP="00104F0C">
      <w:pPr>
        <w:widowControl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sz w:val="22"/>
          <w:lang w:eastAsia="cs-CZ"/>
        </w:rPr>
      </w:pPr>
      <w:r w:rsidRPr="006E333F">
        <w:rPr>
          <w:rFonts w:ascii="Times New Roman" w:eastAsia="Times New Roman" w:hAnsi="Times New Roman" w:cs="Times New Roman"/>
          <w:b/>
          <w:sz w:val="22"/>
          <w:lang w:eastAsia="cs-CZ"/>
        </w:rPr>
        <w:t>ÚČINNOST</w:t>
      </w:r>
    </w:p>
    <w:p w14:paraId="4C3CE959" w14:textId="5FA56B60" w:rsidR="001D4CDD" w:rsidRPr="006E333F" w:rsidRDefault="001D4CDD" w:rsidP="00104F0C">
      <w:pPr>
        <w:widowControl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bCs/>
          <w:sz w:val="22"/>
          <w:lang w:eastAsia="cs-CZ"/>
        </w:rPr>
      </w:pPr>
      <w:r w:rsidRPr="006E333F">
        <w:rPr>
          <w:rFonts w:ascii="Times New Roman" w:eastAsia="Times New Roman" w:hAnsi="Times New Roman" w:cs="Times New Roman"/>
          <w:bCs/>
          <w:sz w:val="22"/>
          <w:lang w:eastAsia="cs-CZ"/>
        </w:rPr>
        <w:t>Čl. LXXV</w:t>
      </w:r>
    </w:p>
    <w:p w14:paraId="0169D55A" w14:textId="1AFFC08A" w:rsidR="005B2B50" w:rsidRPr="006E333F" w:rsidRDefault="001D4CDD" w:rsidP="00A60A92">
      <w:pPr>
        <w:spacing w:before="120" w:after="120" w:line="276" w:lineRule="auto"/>
        <w:ind w:firstLine="567"/>
        <w:jc w:val="both"/>
        <w:rPr>
          <w:rFonts w:ascii="Times New Roman" w:eastAsia="Aptos" w:hAnsi="Times New Roman" w:cs="Times New Roman"/>
          <w:bCs/>
          <w:sz w:val="22"/>
        </w:rPr>
      </w:pPr>
      <w:r w:rsidRPr="006E333F">
        <w:rPr>
          <w:rFonts w:ascii="Times New Roman" w:eastAsia="Times New Roman" w:hAnsi="Times New Roman" w:cs="Times New Roman"/>
          <w:bCs/>
          <w:sz w:val="22"/>
        </w:rPr>
        <w:t xml:space="preserve">Tento zákon nabývá účinnosti dnem 1. ledna 2027, s výjimkou </w:t>
      </w:r>
      <w:r w:rsidR="005B2B50" w:rsidRPr="006E333F">
        <w:rPr>
          <w:rFonts w:ascii="Times New Roman" w:eastAsia="Times New Roman" w:hAnsi="Times New Roman" w:cs="Times New Roman"/>
          <w:bCs/>
          <w:sz w:val="22"/>
        </w:rPr>
        <w:t>ustanovení</w:t>
      </w:r>
    </w:p>
    <w:p w14:paraId="16D75402" w14:textId="251DC20A" w:rsidR="005340CE" w:rsidRPr="00DE6B9B" w:rsidRDefault="005340CE" w:rsidP="00A44432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DE6B9B">
        <w:rPr>
          <w:rFonts w:ascii="Times New Roman" w:eastAsia="Aptos" w:hAnsi="Times New Roman" w:cs="Times New Roman"/>
          <w:bCs/>
          <w:sz w:val="22"/>
        </w:rPr>
        <w:t>a) čl. I bodů 11, 392, 393, 398, 399, 405, 410 až 421, 427, 434, 435, 442 až 445, 450 až 459, 475, 481 až 516, 545</w:t>
      </w:r>
      <w:r w:rsidR="00165F97">
        <w:rPr>
          <w:rFonts w:ascii="Times New Roman" w:eastAsia="Aptos" w:hAnsi="Times New Roman" w:cs="Times New Roman"/>
          <w:bCs/>
          <w:sz w:val="22"/>
        </w:rPr>
        <w:t>,</w:t>
      </w:r>
      <w:r w:rsidRPr="00DE6B9B">
        <w:rPr>
          <w:rFonts w:ascii="Times New Roman" w:eastAsia="Aptos" w:hAnsi="Times New Roman" w:cs="Times New Roman"/>
          <w:bCs/>
          <w:sz w:val="22"/>
        </w:rPr>
        <w:t xml:space="preserve"> 54</w:t>
      </w:r>
      <w:r w:rsidR="003345CA">
        <w:rPr>
          <w:rFonts w:ascii="Times New Roman" w:eastAsia="Aptos" w:hAnsi="Times New Roman" w:cs="Times New Roman"/>
          <w:bCs/>
          <w:sz w:val="22"/>
        </w:rPr>
        <w:t>6</w:t>
      </w:r>
      <w:r w:rsidRPr="00DE6B9B">
        <w:rPr>
          <w:rFonts w:ascii="Times New Roman" w:eastAsia="Aptos" w:hAnsi="Times New Roman" w:cs="Times New Roman"/>
          <w:bCs/>
          <w:sz w:val="22"/>
        </w:rPr>
        <w:t>, 561, 562, 569, 570, 595 až 601, 604, 624 až 652 a 653 až 668, čl. II, čl. XIII bodů 1, 23, 34 až 46</w:t>
      </w:r>
      <w:r w:rsidR="00FD6A58">
        <w:rPr>
          <w:rFonts w:ascii="Times New Roman" w:eastAsia="Aptos" w:hAnsi="Times New Roman" w:cs="Times New Roman"/>
          <w:bCs/>
          <w:sz w:val="22"/>
        </w:rPr>
        <w:t xml:space="preserve"> a</w:t>
      </w:r>
      <w:r w:rsidRPr="00DE6B9B">
        <w:rPr>
          <w:rFonts w:ascii="Times New Roman" w:eastAsia="Aptos" w:hAnsi="Times New Roman" w:cs="Times New Roman"/>
          <w:bCs/>
          <w:sz w:val="22"/>
        </w:rPr>
        <w:t xml:space="preserve"> 49 až 52, čl. VIX bodů 16 a 20, čl. XV bodů 1 až 7, 13 až 16, 18, 19 a 34, čl. XVI bodů 6 až 8, čl. XXVIII, čl. XLII bodů</w:t>
      </w:r>
      <w:r w:rsidR="00E42B6A">
        <w:rPr>
          <w:rFonts w:ascii="Times New Roman" w:eastAsia="Aptos" w:hAnsi="Times New Roman" w:cs="Times New Roman"/>
          <w:bCs/>
          <w:sz w:val="22"/>
        </w:rPr>
        <w:t xml:space="preserve"> X </w:t>
      </w:r>
      <w:r w:rsidR="00F735A5" w:rsidRPr="00F735A5">
        <w:rPr>
          <w:rFonts w:ascii="Times New Roman" w:eastAsia="Aptos" w:hAnsi="Times New Roman" w:cs="Times New Roman"/>
          <w:bCs/>
          <w:i/>
          <w:iCs/>
          <w:sz w:val="22"/>
        </w:rPr>
        <w:t>[</w:t>
      </w:r>
      <w:r w:rsidR="00E42B6A" w:rsidRPr="00CC516C">
        <w:rPr>
          <w:rFonts w:ascii="Times New Roman" w:eastAsia="Aptos" w:hAnsi="Times New Roman" w:cs="Times New Roman"/>
          <w:bCs/>
          <w:i/>
          <w:iCs/>
          <w:sz w:val="22"/>
        </w:rPr>
        <w:t xml:space="preserve">změny v § 9a, v příloze č. 6 a v přechodných ustanoveních zákona </w:t>
      </w:r>
      <w:r w:rsidR="00E42B6A">
        <w:rPr>
          <w:rFonts w:ascii="Times New Roman" w:eastAsia="Aptos" w:hAnsi="Times New Roman" w:cs="Times New Roman"/>
          <w:bCs/>
          <w:i/>
          <w:iCs/>
          <w:sz w:val="22"/>
        </w:rPr>
        <w:t xml:space="preserve">č. 100/2001 Sb., </w:t>
      </w:r>
      <w:r w:rsidR="00E42B6A" w:rsidRPr="00CC516C">
        <w:rPr>
          <w:rFonts w:ascii="Times New Roman" w:eastAsia="Aptos" w:hAnsi="Times New Roman" w:cs="Times New Roman"/>
          <w:bCs/>
          <w:i/>
          <w:iCs/>
          <w:sz w:val="22"/>
        </w:rPr>
        <w:t xml:space="preserve">o </w:t>
      </w:r>
      <w:r w:rsidR="00E42B6A" w:rsidRPr="001C3ABA">
        <w:rPr>
          <w:rFonts w:ascii="Times New Roman" w:eastAsia="Aptos" w:hAnsi="Times New Roman" w:cs="Times New Roman"/>
          <w:bCs/>
          <w:i/>
          <w:iCs/>
          <w:sz w:val="22"/>
        </w:rPr>
        <w:t xml:space="preserve">zákona o posuzování vlivů na životní prostředí </w:t>
      </w:r>
      <w:r w:rsidR="00E42B6A" w:rsidRPr="00CC516C">
        <w:rPr>
          <w:rFonts w:ascii="Times New Roman" w:eastAsia="Aptos" w:hAnsi="Times New Roman" w:cs="Times New Roman"/>
          <w:bCs/>
          <w:i/>
          <w:iCs/>
          <w:sz w:val="22"/>
        </w:rPr>
        <w:t>ve znění celého pozměňovacího návrhu Ivana Adamce uvedeného pod bodem 4 – další pozměňovací návrhy v usnesení hospodářského výboru ze dne 30. dubna 2026 pod názvem „Platnost stanoviska EIA“</w:t>
      </w:r>
      <w:r w:rsidR="00F735A5" w:rsidRPr="00F735A5">
        <w:rPr>
          <w:rFonts w:ascii="Times New Roman" w:eastAsia="Aptos" w:hAnsi="Times New Roman" w:cs="Times New Roman"/>
          <w:bCs/>
          <w:i/>
          <w:iCs/>
          <w:sz w:val="22"/>
        </w:rPr>
        <w:t>]</w:t>
      </w:r>
      <w:r w:rsidR="00E42B6A" w:rsidRPr="00CC516C">
        <w:rPr>
          <w:rFonts w:ascii="Times New Roman" w:eastAsia="Aptos" w:hAnsi="Times New Roman" w:cs="Times New Roman"/>
          <w:bCs/>
          <w:i/>
          <w:iCs/>
          <w:sz w:val="22"/>
        </w:rPr>
        <w:t xml:space="preserve"> </w:t>
      </w:r>
      <w:r w:rsidR="00F959D0">
        <w:rPr>
          <w:rFonts w:ascii="Times New Roman" w:eastAsia="Aptos" w:hAnsi="Times New Roman" w:cs="Times New Roman"/>
          <w:bCs/>
          <w:sz w:val="22"/>
        </w:rPr>
        <w:t>a</w:t>
      </w:r>
      <w:r w:rsidR="00CC516C">
        <w:rPr>
          <w:rFonts w:ascii="Times New Roman" w:eastAsia="Aptos" w:hAnsi="Times New Roman" w:cs="Times New Roman"/>
          <w:bCs/>
          <w:sz w:val="22"/>
        </w:rPr>
        <w:t xml:space="preserve"> </w:t>
      </w:r>
      <w:r w:rsidRPr="00DE6B9B">
        <w:rPr>
          <w:rFonts w:ascii="Times New Roman" w:eastAsia="Aptos" w:hAnsi="Times New Roman" w:cs="Times New Roman"/>
          <w:bCs/>
          <w:sz w:val="22"/>
        </w:rPr>
        <w:t>36 až 88</w:t>
      </w:r>
      <w:r w:rsidR="00CF357A">
        <w:rPr>
          <w:rFonts w:ascii="Times New Roman" w:eastAsia="Aptos" w:hAnsi="Times New Roman" w:cs="Times New Roman"/>
          <w:bCs/>
          <w:sz w:val="22"/>
        </w:rPr>
        <w:t xml:space="preserve"> </w:t>
      </w:r>
      <w:r w:rsidR="005141DB" w:rsidRPr="00F735A5">
        <w:rPr>
          <w:rFonts w:ascii="Times New Roman" w:eastAsia="Aptos" w:hAnsi="Times New Roman" w:cs="Times New Roman"/>
          <w:bCs/>
          <w:i/>
          <w:iCs/>
          <w:sz w:val="22"/>
        </w:rPr>
        <w:t>[</w:t>
      </w:r>
      <w:r w:rsidR="00CF357A" w:rsidRPr="00CC516C">
        <w:rPr>
          <w:rFonts w:ascii="Times New Roman" w:eastAsia="Aptos" w:hAnsi="Times New Roman" w:cs="Times New Roman"/>
          <w:bCs/>
          <w:i/>
          <w:iCs/>
          <w:sz w:val="22"/>
        </w:rPr>
        <w:t>změny v příloze č. 1 ve znění celého pozměňovacího návrhu Igora Červeného, Karla Havlíčka, Zuzany Mrázové a Marie Pošarové uvedeného pod bodem 2 – další pozměňovací návrhy v usnesení hospodářského výboru ze dne 30. dubna 2026 pod názvem „EIA – zvýšení efektivity povolování“</w:t>
      </w:r>
      <w:r w:rsidR="00CF357A" w:rsidRPr="00F735A5">
        <w:rPr>
          <w:rFonts w:ascii="Times New Roman" w:eastAsia="Aptos" w:hAnsi="Times New Roman" w:cs="Times New Roman"/>
          <w:bCs/>
          <w:i/>
          <w:iCs/>
          <w:sz w:val="22"/>
        </w:rPr>
        <w:t>]</w:t>
      </w:r>
      <w:r w:rsidRPr="00DE6B9B">
        <w:rPr>
          <w:rFonts w:ascii="Times New Roman" w:eastAsia="Aptos" w:hAnsi="Times New Roman" w:cs="Times New Roman"/>
          <w:bCs/>
          <w:sz w:val="22"/>
        </w:rPr>
        <w:t>, čl. XLIII bodu 4, čl. XLIV bodů 2 až 4, čl. XLV bodu 4</w:t>
      </w:r>
      <w:r w:rsidR="0093600A">
        <w:rPr>
          <w:rFonts w:ascii="Times New Roman" w:eastAsia="Aptos" w:hAnsi="Times New Roman" w:cs="Times New Roman"/>
          <w:bCs/>
          <w:sz w:val="22"/>
        </w:rPr>
        <w:t>,</w:t>
      </w:r>
      <w:r w:rsidRPr="00DE6B9B">
        <w:rPr>
          <w:rFonts w:ascii="Times New Roman" w:eastAsia="Aptos" w:hAnsi="Times New Roman" w:cs="Times New Roman"/>
          <w:bCs/>
          <w:sz w:val="22"/>
        </w:rPr>
        <w:t xml:space="preserve"> čl. L bodů 2 až 5</w:t>
      </w:r>
      <w:r w:rsidR="0093600A">
        <w:rPr>
          <w:rFonts w:ascii="Times New Roman" w:eastAsia="Aptos" w:hAnsi="Times New Roman" w:cs="Times New Roman"/>
          <w:bCs/>
          <w:sz w:val="22"/>
        </w:rPr>
        <w:t xml:space="preserve"> a čl. </w:t>
      </w:r>
      <w:r w:rsidR="0093600A" w:rsidRPr="0093600A">
        <w:rPr>
          <w:rFonts w:ascii="Times New Roman" w:eastAsia="Aptos" w:hAnsi="Times New Roman" w:cs="Times New Roman"/>
          <w:bCs/>
          <w:sz w:val="22"/>
        </w:rPr>
        <w:t>LIX</w:t>
      </w:r>
      <w:r w:rsidR="0093600A">
        <w:rPr>
          <w:rFonts w:ascii="Times New Roman" w:eastAsia="Aptos" w:hAnsi="Times New Roman" w:cs="Times New Roman"/>
          <w:bCs/>
          <w:sz w:val="22"/>
        </w:rPr>
        <w:t xml:space="preserve"> body 16 a 22</w:t>
      </w:r>
      <w:r w:rsidRPr="00DE6B9B">
        <w:rPr>
          <w:rFonts w:ascii="Times New Roman" w:eastAsia="Aptos" w:hAnsi="Times New Roman" w:cs="Times New Roman"/>
          <w:bCs/>
          <w:sz w:val="22"/>
        </w:rPr>
        <w:t>, která nabývají účinnosti prvním dnem kalendářního měsíce následujícího po dni jeho vyhlášení,</w:t>
      </w:r>
    </w:p>
    <w:p w14:paraId="7C252747" w14:textId="4EF05314" w:rsidR="006440CE" w:rsidRPr="00DF6590" w:rsidRDefault="006440CE" w:rsidP="00462285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DF6590">
        <w:rPr>
          <w:rFonts w:ascii="Times New Roman" w:eastAsia="Aptos" w:hAnsi="Times New Roman" w:cs="Times New Roman"/>
          <w:bCs/>
          <w:sz w:val="22"/>
        </w:rPr>
        <w:t>b) čl. I bod</w:t>
      </w:r>
      <w:r w:rsidR="00A60A92" w:rsidRPr="00DF6590">
        <w:rPr>
          <w:rFonts w:ascii="Times New Roman" w:eastAsia="Aptos" w:hAnsi="Times New Roman" w:cs="Times New Roman"/>
          <w:bCs/>
          <w:sz w:val="22"/>
        </w:rPr>
        <w:t>ů</w:t>
      </w:r>
      <w:r w:rsidRPr="00DF6590">
        <w:rPr>
          <w:rFonts w:ascii="Times New Roman" w:eastAsia="Aptos" w:hAnsi="Times New Roman" w:cs="Times New Roman"/>
          <w:bCs/>
          <w:sz w:val="22"/>
        </w:rPr>
        <w:t xml:space="preserve"> 81 až 83, čl. LIV bod</w:t>
      </w:r>
      <w:r w:rsidR="00A60A92" w:rsidRPr="00DF6590">
        <w:rPr>
          <w:rFonts w:ascii="Times New Roman" w:eastAsia="Aptos" w:hAnsi="Times New Roman" w:cs="Times New Roman"/>
          <w:bCs/>
          <w:sz w:val="22"/>
        </w:rPr>
        <w:t>u</w:t>
      </w:r>
      <w:r w:rsidRPr="00DF6590">
        <w:rPr>
          <w:rFonts w:ascii="Times New Roman" w:eastAsia="Aptos" w:hAnsi="Times New Roman" w:cs="Times New Roman"/>
          <w:bCs/>
          <w:sz w:val="22"/>
        </w:rPr>
        <w:t xml:space="preserve"> 7, čl. LXXI bod</w:t>
      </w:r>
      <w:r w:rsidR="00A60A92" w:rsidRPr="00DF6590">
        <w:rPr>
          <w:rFonts w:ascii="Times New Roman" w:eastAsia="Aptos" w:hAnsi="Times New Roman" w:cs="Times New Roman"/>
          <w:bCs/>
          <w:sz w:val="22"/>
        </w:rPr>
        <w:t xml:space="preserve">ů </w:t>
      </w:r>
      <w:r w:rsidRPr="00DF6590">
        <w:rPr>
          <w:rFonts w:ascii="Times New Roman" w:eastAsia="Aptos" w:hAnsi="Times New Roman" w:cs="Times New Roman"/>
          <w:bCs/>
          <w:sz w:val="22"/>
        </w:rPr>
        <w:t>3 až 9 a 13 a čl. LXXIV bod</w:t>
      </w:r>
      <w:r w:rsidR="00A60A92" w:rsidRPr="00DF6590">
        <w:rPr>
          <w:rFonts w:ascii="Times New Roman" w:eastAsia="Aptos" w:hAnsi="Times New Roman" w:cs="Times New Roman"/>
          <w:bCs/>
          <w:sz w:val="22"/>
        </w:rPr>
        <w:t>ů</w:t>
      </w:r>
      <w:r w:rsidRPr="00DF6590">
        <w:rPr>
          <w:rFonts w:ascii="Times New Roman" w:eastAsia="Aptos" w:hAnsi="Times New Roman" w:cs="Times New Roman"/>
          <w:bCs/>
          <w:sz w:val="22"/>
        </w:rPr>
        <w:t xml:space="preserve"> 1 až 4</w:t>
      </w:r>
      <w:r w:rsidR="00A60A92" w:rsidRPr="00DF6590">
        <w:rPr>
          <w:rFonts w:ascii="Times New Roman" w:eastAsia="Aptos" w:hAnsi="Times New Roman" w:cs="Times New Roman"/>
          <w:bCs/>
          <w:sz w:val="22"/>
        </w:rPr>
        <w:t>, která nabývají účinnosti dnem 1. ledna 2028</w:t>
      </w:r>
      <w:r w:rsidRPr="00DF6590">
        <w:rPr>
          <w:rFonts w:ascii="Times New Roman" w:eastAsia="Aptos" w:hAnsi="Times New Roman" w:cs="Times New Roman"/>
          <w:bCs/>
          <w:sz w:val="22"/>
        </w:rPr>
        <w:t>.</w:t>
      </w:r>
      <w:r w:rsidR="00A60A92" w:rsidRPr="00DF6590">
        <w:rPr>
          <w:rFonts w:ascii="Times New Roman" w:eastAsia="Aptos" w:hAnsi="Times New Roman" w:cs="Times New Roman"/>
          <w:bCs/>
          <w:sz w:val="22"/>
        </w:rPr>
        <w:t>“.</w:t>
      </w:r>
    </w:p>
    <w:p w14:paraId="2DA4AF13" w14:textId="77777777" w:rsidR="001D4CDD" w:rsidRPr="00DF6590" w:rsidRDefault="001D4CDD" w:rsidP="00D13C23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i/>
          <w:iCs/>
          <w:sz w:val="22"/>
        </w:rPr>
      </w:pPr>
    </w:p>
    <w:p w14:paraId="5AE46732" w14:textId="06BF5AC9" w:rsidR="000B46BE" w:rsidRDefault="00E70E97" w:rsidP="00D13C23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i/>
          <w:iCs/>
          <w:sz w:val="22"/>
        </w:rPr>
      </w:pPr>
      <w:r w:rsidRPr="00DF6590">
        <w:rPr>
          <w:rFonts w:ascii="Times New Roman" w:eastAsia="Aptos" w:hAnsi="Times New Roman" w:cs="Times New Roman"/>
          <w:bCs/>
          <w:i/>
          <w:iCs/>
          <w:sz w:val="22"/>
        </w:rPr>
        <w:t xml:space="preserve">Čísla </w:t>
      </w:r>
      <w:r w:rsidR="00377CEF">
        <w:rPr>
          <w:rFonts w:ascii="Times New Roman" w:eastAsia="Aptos" w:hAnsi="Times New Roman" w:cs="Times New Roman"/>
          <w:bCs/>
          <w:i/>
          <w:iCs/>
          <w:sz w:val="22"/>
        </w:rPr>
        <w:t xml:space="preserve">částí, článků a </w:t>
      </w:r>
      <w:r w:rsidRPr="00DF6590">
        <w:rPr>
          <w:rFonts w:ascii="Times New Roman" w:eastAsia="Aptos" w:hAnsi="Times New Roman" w:cs="Times New Roman"/>
          <w:bCs/>
          <w:i/>
          <w:iCs/>
          <w:sz w:val="22"/>
        </w:rPr>
        <w:t>bodů jsou uváděna ve znění komplexního pozměňovacího návrhu podle sněmovního tisku č.</w:t>
      </w:r>
      <w:r w:rsidR="005C66CC" w:rsidRPr="00DF6590">
        <w:rPr>
          <w:rFonts w:ascii="Times New Roman" w:eastAsia="Aptos" w:hAnsi="Times New Roman" w:cs="Times New Roman"/>
          <w:bCs/>
          <w:i/>
          <w:iCs/>
          <w:sz w:val="22"/>
        </w:rPr>
        <w:t> </w:t>
      </w:r>
      <w:r w:rsidRPr="00DF6590">
        <w:rPr>
          <w:rFonts w:ascii="Times New Roman" w:eastAsia="Aptos" w:hAnsi="Times New Roman" w:cs="Times New Roman"/>
          <w:bCs/>
          <w:i/>
          <w:iCs/>
          <w:sz w:val="22"/>
        </w:rPr>
        <w:t>67/11</w:t>
      </w:r>
      <w:r w:rsidR="00377CEF">
        <w:rPr>
          <w:rFonts w:ascii="Times New Roman" w:eastAsia="Aptos" w:hAnsi="Times New Roman" w:cs="Times New Roman"/>
          <w:bCs/>
          <w:i/>
          <w:iCs/>
          <w:sz w:val="22"/>
        </w:rPr>
        <w:t>.</w:t>
      </w:r>
      <w:r w:rsidRPr="00DF6590">
        <w:rPr>
          <w:rFonts w:ascii="Times New Roman" w:eastAsia="Aptos" w:hAnsi="Times New Roman" w:cs="Times New Roman"/>
          <w:bCs/>
          <w:i/>
          <w:iCs/>
          <w:sz w:val="22"/>
        </w:rPr>
        <w:t xml:space="preserve"> </w:t>
      </w:r>
      <w:r w:rsidR="000B46BE" w:rsidRPr="00DF6590">
        <w:rPr>
          <w:rFonts w:ascii="Times New Roman" w:eastAsia="Aptos" w:hAnsi="Times New Roman" w:cs="Times New Roman"/>
          <w:bCs/>
          <w:i/>
          <w:iCs/>
          <w:sz w:val="22"/>
        </w:rPr>
        <w:t>V případě přečíslování bodů podle jiných pozm</w:t>
      </w:r>
      <w:r w:rsidRPr="00DF6590">
        <w:rPr>
          <w:rFonts w:ascii="Times New Roman" w:eastAsia="Aptos" w:hAnsi="Times New Roman" w:cs="Times New Roman"/>
          <w:bCs/>
          <w:i/>
          <w:iCs/>
          <w:sz w:val="22"/>
        </w:rPr>
        <w:t>ěňovacích návrhů bude třeba body přečíslovat</w:t>
      </w:r>
    </w:p>
    <w:p w14:paraId="3318AABD" w14:textId="59602AF2" w:rsidR="00E5497C" w:rsidRDefault="00E5497C">
      <w:pPr>
        <w:rPr>
          <w:rFonts w:ascii="Times New Roman" w:eastAsia="Aptos" w:hAnsi="Times New Roman" w:cs="Times New Roman"/>
          <w:b/>
          <w:sz w:val="22"/>
        </w:rPr>
      </w:pPr>
    </w:p>
    <w:p w14:paraId="6D04C7E7" w14:textId="187DF47A" w:rsidR="00D61003" w:rsidRPr="008E49CB" w:rsidRDefault="00D61003" w:rsidP="00D13C23">
      <w:pPr>
        <w:spacing w:before="120" w:after="120" w:line="276" w:lineRule="auto"/>
        <w:jc w:val="both"/>
        <w:rPr>
          <w:rFonts w:ascii="Times New Roman" w:eastAsia="Aptos" w:hAnsi="Times New Roman" w:cs="Times New Roman"/>
          <w:b/>
          <w:sz w:val="22"/>
        </w:rPr>
      </w:pPr>
      <w:r w:rsidRPr="00D61003">
        <w:rPr>
          <w:rFonts w:ascii="Times New Roman" w:eastAsia="Aptos" w:hAnsi="Times New Roman" w:cs="Times New Roman"/>
          <w:b/>
          <w:sz w:val="22"/>
        </w:rPr>
        <w:t>Odůvodnění</w:t>
      </w:r>
    </w:p>
    <w:p w14:paraId="7AEB9926" w14:textId="2014147A" w:rsidR="002A1CCF" w:rsidRDefault="00D61003" w:rsidP="00D61003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>
        <w:rPr>
          <w:rFonts w:ascii="Times New Roman" w:eastAsia="Aptos" w:hAnsi="Times New Roman" w:cs="Times New Roman"/>
          <w:bCs/>
          <w:sz w:val="22"/>
        </w:rPr>
        <w:t xml:space="preserve">S ohledem na dobu trvání legislativního procesu v Poslanecké sněmovně </w:t>
      </w:r>
      <w:r w:rsidR="002A1CCF">
        <w:rPr>
          <w:rFonts w:ascii="Times New Roman" w:eastAsia="Aptos" w:hAnsi="Times New Roman" w:cs="Times New Roman"/>
          <w:bCs/>
          <w:sz w:val="22"/>
        </w:rPr>
        <w:t xml:space="preserve">se navrhuje odložit základní účinnost celé novely z 1. července 2026 na 1. ledna 2027. Tím dojde zároveň ke sjednocení účinnosti celého zákona </w:t>
      </w:r>
      <w:r w:rsidR="006C5EE3">
        <w:rPr>
          <w:rFonts w:ascii="Times New Roman" w:eastAsia="Aptos" w:hAnsi="Times New Roman" w:cs="Times New Roman"/>
          <w:bCs/>
          <w:sz w:val="22"/>
        </w:rPr>
        <w:t>se vznikem Úřadu rozvoje území České republiky a ke zjednodušení přechodných ustanovení.</w:t>
      </w:r>
    </w:p>
    <w:p w14:paraId="186375D6" w14:textId="2515F4C5" w:rsidR="006C5EE3" w:rsidRDefault="001B32A1" w:rsidP="00D61003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>
        <w:rPr>
          <w:rFonts w:ascii="Times New Roman" w:eastAsia="Aptos" w:hAnsi="Times New Roman" w:cs="Times New Roman"/>
          <w:bCs/>
          <w:sz w:val="22"/>
        </w:rPr>
        <w:t>N</w:t>
      </w:r>
      <w:r w:rsidR="006C5EE3">
        <w:rPr>
          <w:rFonts w:ascii="Times New Roman" w:eastAsia="Aptos" w:hAnsi="Times New Roman" w:cs="Times New Roman"/>
          <w:bCs/>
          <w:sz w:val="22"/>
        </w:rPr>
        <w:t xml:space="preserve">ávrh vybírá </w:t>
      </w:r>
      <w:r w:rsidR="00E76FC4">
        <w:rPr>
          <w:rFonts w:ascii="Times New Roman" w:eastAsia="Aptos" w:hAnsi="Times New Roman" w:cs="Times New Roman"/>
          <w:bCs/>
          <w:sz w:val="22"/>
        </w:rPr>
        <w:t xml:space="preserve">několik </w:t>
      </w:r>
      <w:r w:rsidR="006C5EE3">
        <w:rPr>
          <w:rFonts w:ascii="Times New Roman" w:eastAsia="Aptos" w:hAnsi="Times New Roman" w:cs="Times New Roman"/>
          <w:bCs/>
          <w:sz w:val="22"/>
        </w:rPr>
        <w:t>ustanovení s předsazenou účinností</w:t>
      </w:r>
      <w:r w:rsidR="00E76FC4">
        <w:rPr>
          <w:rFonts w:ascii="Times New Roman" w:eastAsia="Aptos" w:hAnsi="Times New Roman" w:cs="Times New Roman"/>
          <w:bCs/>
          <w:sz w:val="22"/>
        </w:rPr>
        <w:t>, které mají přinést okamžitý efekt v odbřemenění stavebních úřadů</w:t>
      </w:r>
      <w:r w:rsidR="006C5EE3">
        <w:rPr>
          <w:rFonts w:ascii="Times New Roman" w:eastAsia="Aptos" w:hAnsi="Times New Roman" w:cs="Times New Roman"/>
          <w:bCs/>
          <w:sz w:val="22"/>
        </w:rPr>
        <w:t xml:space="preserve"> </w:t>
      </w:r>
      <w:r w:rsidR="00E76FC4">
        <w:rPr>
          <w:rFonts w:ascii="Times New Roman" w:eastAsia="Aptos" w:hAnsi="Times New Roman" w:cs="Times New Roman"/>
          <w:bCs/>
          <w:sz w:val="22"/>
        </w:rPr>
        <w:t xml:space="preserve">a zrychlení </w:t>
      </w:r>
      <w:r w:rsidR="00E427FB">
        <w:rPr>
          <w:rFonts w:ascii="Times New Roman" w:eastAsia="Aptos" w:hAnsi="Times New Roman" w:cs="Times New Roman"/>
          <w:bCs/>
          <w:sz w:val="22"/>
        </w:rPr>
        <w:t xml:space="preserve">a </w:t>
      </w:r>
      <w:r w:rsidR="00520E6A">
        <w:rPr>
          <w:rFonts w:ascii="Times New Roman" w:eastAsia="Aptos" w:hAnsi="Times New Roman" w:cs="Times New Roman"/>
          <w:bCs/>
          <w:sz w:val="22"/>
        </w:rPr>
        <w:t xml:space="preserve">zefektivnění </w:t>
      </w:r>
      <w:r w:rsidR="00E76FC4">
        <w:rPr>
          <w:rFonts w:ascii="Times New Roman" w:eastAsia="Aptos" w:hAnsi="Times New Roman" w:cs="Times New Roman"/>
          <w:bCs/>
          <w:sz w:val="22"/>
        </w:rPr>
        <w:t>povolov</w:t>
      </w:r>
      <w:r w:rsidR="00520E6A">
        <w:rPr>
          <w:rFonts w:ascii="Times New Roman" w:eastAsia="Aptos" w:hAnsi="Times New Roman" w:cs="Times New Roman"/>
          <w:bCs/>
          <w:sz w:val="22"/>
        </w:rPr>
        <w:t>acích procesů</w:t>
      </w:r>
      <w:r w:rsidR="00E427FB">
        <w:rPr>
          <w:rFonts w:ascii="Times New Roman" w:eastAsia="Aptos" w:hAnsi="Times New Roman" w:cs="Times New Roman"/>
          <w:bCs/>
          <w:sz w:val="22"/>
        </w:rPr>
        <w:t xml:space="preserve"> nebo omezení zbytné byrokratické zátěže</w:t>
      </w:r>
      <w:r w:rsidR="00E76FC4">
        <w:rPr>
          <w:rFonts w:ascii="Times New Roman" w:eastAsia="Aptos" w:hAnsi="Times New Roman" w:cs="Times New Roman"/>
          <w:bCs/>
          <w:sz w:val="22"/>
        </w:rPr>
        <w:t>. Jde o změny</w:t>
      </w:r>
      <w:r w:rsidR="00210BEF">
        <w:rPr>
          <w:rFonts w:ascii="Times New Roman" w:eastAsia="Aptos" w:hAnsi="Times New Roman" w:cs="Times New Roman"/>
          <w:bCs/>
          <w:sz w:val="22"/>
        </w:rPr>
        <w:t xml:space="preserve">, jejichž dřívější </w:t>
      </w:r>
      <w:r w:rsidR="00D14981">
        <w:rPr>
          <w:rFonts w:ascii="Times New Roman" w:eastAsia="Aptos" w:hAnsi="Times New Roman" w:cs="Times New Roman"/>
          <w:bCs/>
          <w:sz w:val="22"/>
        </w:rPr>
        <w:t xml:space="preserve">účinnost je odůvodněna </w:t>
      </w:r>
      <w:r w:rsidR="007D3879">
        <w:rPr>
          <w:rFonts w:ascii="Times New Roman" w:eastAsia="Aptos" w:hAnsi="Times New Roman" w:cs="Times New Roman"/>
          <w:bCs/>
          <w:sz w:val="22"/>
        </w:rPr>
        <w:t xml:space="preserve">důležitou společenskou potřebou urychlení povolovacích procesů a </w:t>
      </w:r>
      <w:r w:rsidR="00E76FC4">
        <w:rPr>
          <w:rFonts w:ascii="Times New Roman" w:eastAsia="Aptos" w:hAnsi="Times New Roman" w:cs="Times New Roman"/>
          <w:bCs/>
          <w:sz w:val="22"/>
        </w:rPr>
        <w:t xml:space="preserve">které </w:t>
      </w:r>
      <w:r w:rsidR="00DE76FD">
        <w:rPr>
          <w:rFonts w:ascii="Times New Roman" w:eastAsia="Aptos" w:hAnsi="Times New Roman" w:cs="Times New Roman"/>
          <w:bCs/>
          <w:sz w:val="22"/>
        </w:rPr>
        <w:t xml:space="preserve">zároveň </w:t>
      </w:r>
      <w:r w:rsidR="00520E6A">
        <w:rPr>
          <w:rFonts w:ascii="Times New Roman" w:eastAsia="Aptos" w:hAnsi="Times New Roman" w:cs="Times New Roman"/>
          <w:bCs/>
          <w:sz w:val="22"/>
        </w:rPr>
        <w:t>nesouvisí s institucionální reformou a nejsou tak závislé na vzniku úřadů rozvoje území</w:t>
      </w:r>
      <w:r w:rsidR="00CC087D">
        <w:rPr>
          <w:rFonts w:ascii="Times New Roman" w:eastAsia="Aptos" w:hAnsi="Times New Roman" w:cs="Times New Roman"/>
          <w:bCs/>
          <w:sz w:val="22"/>
        </w:rPr>
        <w:t xml:space="preserve"> a s organizačními změnami</w:t>
      </w:r>
      <w:r w:rsidR="00520E6A">
        <w:rPr>
          <w:rFonts w:ascii="Times New Roman" w:eastAsia="Aptos" w:hAnsi="Times New Roman" w:cs="Times New Roman"/>
          <w:bCs/>
          <w:sz w:val="22"/>
        </w:rPr>
        <w:t>.</w:t>
      </w:r>
      <w:r w:rsidR="00E76FC4">
        <w:rPr>
          <w:rFonts w:ascii="Times New Roman" w:eastAsia="Aptos" w:hAnsi="Times New Roman" w:cs="Times New Roman"/>
          <w:bCs/>
          <w:sz w:val="22"/>
        </w:rPr>
        <w:t xml:space="preserve"> </w:t>
      </w:r>
    </w:p>
    <w:p w14:paraId="2C8DBE84" w14:textId="6382856F" w:rsidR="00837AB7" w:rsidRDefault="00837AB7" w:rsidP="00D61003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>
        <w:rPr>
          <w:rFonts w:ascii="Times New Roman" w:eastAsia="Aptos" w:hAnsi="Times New Roman" w:cs="Times New Roman"/>
          <w:bCs/>
          <w:sz w:val="22"/>
        </w:rPr>
        <w:t>Jedná se o následující ustanovení s předsazenou účinností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</w:t>
      </w:r>
      <w:r>
        <w:rPr>
          <w:rFonts w:ascii="Times New Roman" w:eastAsia="Aptos" w:hAnsi="Times New Roman" w:cs="Times New Roman"/>
          <w:bCs/>
          <w:sz w:val="22"/>
        </w:rPr>
        <w:t>k prvnímu dni měsíce následujícího po vyhlášení zákona:</w:t>
      </w:r>
    </w:p>
    <w:p w14:paraId="73463AEF" w14:textId="3709912E" w:rsidR="00E048DF" w:rsidRDefault="00D61003" w:rsidP="00D61003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6E333F">
        <w:rPr>
          <w:rFonts w:ascii="Times New Roman" w:eastAsia="Aptos" w:hAnsi="Times New Roman" w:cs="Times New Roman"/>
          <w:bCs/>
          <w:sz w:val="22"/>
        </w:rPr>
        <w:t>a) čl. I (stavební zákon) bod</w:t>
      </w:r>
      <w:r w:rsidR="00837AB7">
        <w:rPr>
          <w:rFonts w:ascii="Times New Roman" w:eastAsia="Aptos" w:hAnsi="Times New Roman" w:cs="Times New Roman"/>
          <w:bCs/>
          <w:sz w:val="22"/>
        </w:rPr>
        <w:t>y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11 (§ 5/7,8), 392 (§ 179/2), 393 (§ 179a), 398 (§ 182/2), 399 (§ 183),  405 (§ 184/5), 410 až 421 (§ 187 až 189) 427 (§ 190a), 434 (§ 193 odst. 4 až 6), 435 (§ 194 a § 194a), 442 až 445 (§ 198),450 až 459 (§ 201 až 215),  475 (§ 224/6), 481 až 516 (§ 230 až 245), 545 a 54</w:t>
      </w:r>
      <w:r w:rsidR="003345CA">
        <w:rPr>
          <w:rFonts w:ascii="Times New Roman" w:eastAsia="Aptos" w:hAnsi="Times New Roman" w:cs="Times New Roman"/>
          <w:bCs/>
          <w:sz w:val="22"/>
        </w:rPr>
        <w:t>6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(§ 264), </w:t>
      </w:r>
      <w:r w:rsidRPr="006E333F">
        <w:rPr>
          <w:rFonts w:ascii="Times New Roman" w:eastAsia="Aptos" w:hAnsi="Times New Roman" w:cs="Times New Roman"/>
          <w:bCs/>
          <w:sz w:val="22"/>
        </w:rPr>
        <w:lastRenderedPageBreak/>
        <w:t>561 (§ 276), 562 (§ 277), 569 (§ 283), 570 (§ 284), 595 až 601 (§ 306 až 310), 604 (§ 311/</w:t>
      </w:r>
      <w:r w:rsidR="009632BF">
        <w:rPr>
          <w:rFonts w:ascii="Times New Roman" w:eastAsia="Aptos" w:hAnsi="Times New Roman" w:cs="Times New Roman"/>
          <w:bCs/>
          <w:sz w:val="22"/>
        </w:rPr>
        <w:t>4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až 7), 624 až 652 (Příloha č. 1) a 653 až 668 (Příloha č. 2) a čl. II (přechodná ustanovení) bod</w:t>
      </w:r>
      <w:r w:rsidR="00837AB7">
        <w:rPr>
          <w:rFonts w:ascii="Times New Roman" w:eastAsia="Aptos" w:hAnsi="Times New Roman" w:cs="Times New Roman"/>
          <w:bCs/>
          <w:sz w:val="22"/>
        </w:rPr>
        <w:t>y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1 až 5</w:t>
      </w:r>
      <w:r w:rsidR="001D4D4A">
        <w:rPr>
          <w:rFonts w:ascii="Times New Roman" w:eastAsia="Aptos" w:hAnsi="Times New Roman" w:cs="Times New Roman"/>
          <w:bCs/>
          <w:sz w:val="22"/>
        </w:rPr>
        <w:t>6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, </w:t>
      </w:r>
    </w:p>
    <w:p w14:paraId="5867AFAB" w14:textId="77777777" w:rsidR="00097258" w:rsidRDefault="00D61003" w:rsidP="00D61003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6E333F">
        <w:rPr>
          <w:rFonts w:ascii="Times New Roman" w:eastAsia="Aptos" w:hAnsi="Times New Roman" w:cs="Times New Roman"/>
          <w:bCs/>
          <w:sz w:val="22"/>
        </w:rPr>
        <w:t>čl. XIII (zákon o ochraně přírody a krajiny) bod</w:t>
      </w:r>
      <w:r w:rsidR="00E048DF">
        <w:rPr>
          <w:rFonts w:ascii="Times New Roman" w:eastAsia="Aptos" w:hAnsi="Times New Roman" w:cs="Times New Roman"/>
          <w:bCs/>
          <w:sz w:val="22"/>
        </w:rPr>
        <w:t>y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1 (§ 1), 23 (§ 12/4), 34 až 42 (§ 26), 43 až 46 (§ 37), 49 až 52 (§ 44) a čl. VIX (přechodná ustanovení) bod</w:t>
      </w:r>
      <w:r w:rsidR="00E048DF">
        <w:rPr>
          <w:rFonts w:ascii="Times New Roman" w:eastAsia="Aptos" w:hAnsi="Times New Roman" w:cs="Times New Roman"/>
          <w:bCs/>
          <w:sz w:val="22"/>
        </w:rPr>
        <w:t>y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16 a 20,</w:t>
      </w:r>
    </w:p>
    <w:p w14:paraId="585B8251" w14:textId="08B0D830" w:rsidR="00D61003" w:rsidRDefault="00D61003" w:rsidP="00097258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6E333F">
        <w:rPr>
          <w:rFonts w:ascii="Times New Roman" w:eastAsia="Aptos" w:hAnsi="Times New Roman" w:cs="Times New Roman"/>
          <w:bCs/>
          <w:sz w:val="22"/>
        </w:rPr>
        <w:t>čl. XV. (zákon o ochraně zemědělského půdního fondu) body 1 až 6 (§ 4), 7 (§ 5), 13 až 16 (§ 9 odst. 2 až 8), 18 (§ 9 odst. 10), 19 (§ 11/3), 34 (příloha) a čl. XVI (přechodná ustanovení) body 6 až 8,</w:t>
      </w:r>
    </w:p>
    <w:p w14:paraId="49A33491" w14:textId="0362648F" w:rsidR="00D61003" w:rsidRDefault="00D61003" w:rsidP="00097258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6E333F">
        <w:rPr>
          <w:rFonts w:ascii="Times New Roman" w:eastAsia="Aptos" w:hAnsi="Times New Roman" w:cs="Times New Roman"/>
          <w:bCs/>
          <w:sz w:val="22"/>
        </w:rPr>
        <w:t xml:space="preserve">čl. XXVIII. (§ 8 odst. 4 zákona o odpovědnosti za škodu způsobenou při výkonu veřejné moci rozhodnutím nebo nesprávným úředním postupem), </w:t>
      </w:r>
    </w:p>
    <w:p w14:paraId="15248209" w14:textId="4850EA71" w:rsidR="00D61003" w:rsidRDefault="00D61003" w:rsidP="00097258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r w:rsidRPr="006E333F">
        <w:rPr>
          <w:rFonts w:ascii="Times New Roman" w:eastAsia="Aptos" w:hAnsi="Times New Roman" w:cs="Times New Roman"/>
          <w:bCs/>
          <w:sz w:val="22"/>
        </w:rPr>
        <w:t>čl. XLII (zákon o posuzování vlivů na životní prostředí) bod</w:t>
      </w:r>
      <w:r w:rsidR="00ED6283">
        <w:rPr>
          <w:rFonts w:ascii="Times New Roman" w:eastAsia="Aptos" w:hAnsi="Times New Roman" w:cs="Times New Roman"/>
          <w:bCs/>
          <w:sz w:val="22"/>
        </w:rPr>
        <w:t xml:space="preserve"> označený </w:t>
      </w:r>
      <w:r w:rsidR="0084539B">
        <w:rPr>
          <w:rFonts w:ascii="Times New Roman" w:eastAsia="Aptos" w:hAnsi="Times New Roman" w:cs="Times New Roman"/>
          <w:bCs/>
          <w:sz w:val="22"/>
        </w:rPr>
        <w:t>písmenem „</w:t>
      </w:r>
      <w:r w:rsidRPr="006E333F">
        <w:rPr>
          <w:rFonts w:ascii="Times New Roman" w:eastAsia="Aptos" w:hAnsi="Times New Roman" w:cs="Times New Roman"/>
          <w:bCs/>
          <w:sz w:val="22"/>
        </w:rPr>
        <w:t>X</w:t>
      </w:r>
      <w:r w:rsidR="0084539B">
        <w:rPr>
          <w:rFonts w:ascii="Times New Roman" w:eastAsia="Aptos" w:hAnsi="Times New Roman" w:cs="Times New Roman"/>
          <w:bCs/>
          <w:sz w:val="22"/>
        </w:rPr>
        <w:t>“</w:t>
      </w:r>
      <w:r w:rsidRPr="006E333F">
        <w:rPr>
          <w:rFonts w:ascii="Times New Roman" w:eastAsia="Aptos" w:hAnsi="Times New Roman" w:cs="Times New Roman"/>
          <w:bCs/>
          <w:sz w:val="22"/>
        </w:rPr>
        <w:t xml:space="preserve"> (změny v § 9a, v</w:t>
      </w:r>
      <w:r w:rsidR="0084539B">
        <w:rPr>
          <w:rFonts w:ascii="Times New Roman" w:eastAsia="Aptos" w:hAnsi="Times New Roman" w:cs="Times New Roman"/>
          <w:bCs/>
          <w:sz w:val="22"/>
        </w:rPr>
        <w:t> </w:t>
      </w:r>
      <w:r w:rsidRPr="006E333F">
        <w:rPr>
          <w:rFonts w:ascii="Times New Roman" w:eastAsia="Aptos" w:hAnsi="Times New Roman" w:cs="Times New Roman"/>
          <w:bCs/>
          <w:sz w:val="22"/>
        </w:rPr>
        <w:t>příloze č. 6 a</w:t>
      </w:r>
      <w:r w:rsidR="00097258">
        <w:rPr>
          <w:rFonts w:ascii="Times New Roman" w:eastAsia="Aptos" w:hAnsi="Times New Roman" w:cs="Times New Roman"/>
          <w:bCs/>
          <w:sz w:val="22"/>
        </w:rPr>
        <w:t> </w:t>
      </w:r>
      <w:r w:rsidRPr="006E333F">
        <w:rPr>
          <w:rFonts w:ascii="Times New Roman" w:eastAsia="Aptos" w:hAnsi="Times New Roman" w:cs="Times New Roman"/>
          <w:bCs/>
          <w:sz w:val="22"/>
        </w:rPr>
        <w:t>v přechodných ustanoveních) (</w:t>
      </w:r>
      <w:r w:rsidRPr="006E333F">
        <w:rPr>
          <w:rFonts w:ascii="Times New Roman" w:eastAsia="Aptos" w:hAnsi="Times New Roman" w:cs="Times New Roman"/>
          <w:bCs/>
          <w:i/>
          <w:iCs/>
          <w:sz w:val="22"/>
        </w:rPr>
        <w:t xml:space="preserve">ve znění celého pozměňovacího návrhu Ivana Adamce uvedeného pod bodem 4 – další pozměňovací návrhy v usnesení hospodářského výboru ze dne 30. dubna 2026 pod názvem „Platnost stanoviska EIA“) </w:t>
      </w:r>
      <w:r w:rsidRPr="006E333F">
        <w:rPr>
          <w:rFonts w:ascii="Times New Roman" w:eastAsia="Aptos" w:hAnsi="Times New Roman" w:cs="Times New Roman"/>
          <w:bCs/>
          <w:sz w:val="22"/>
        </w:rPr>
        <w:t>a body 36 až 88 (příloha 1</w:t>
      </w:r>
      <w:r w:rsidRPr="00837AB7">
        <w:rPr>
          <w:rFonts w:ascii="Times New Roman" w:eastAsia="Aptos" w:hAnsi="Times New Roman" w:cs="Times New Roman"/>
          <w:bCs/>
          <w:sz w:val="24"/>
          <w:szCs w:val="24"/>
        </w:rPr>
        <w:t xml:space="preserve">) </w:t>
      </w:r>
      <w:r w:rsidRPr="00837AB7">
        <w:rPr>
          <w:rFonts w:ascii="Times New Roman" w:eastAsia="Aptos" w:hAnsi="Times New Roman" w:cs="Times New Roman"/>
          <w:bCs/>
          <w:i/>
          <w:iCs/>
          <w:sz w:val="24"/>
          <w:szCs w:val="24"/>
        </w:rPr>
        <w:t xml:space="preserve">(ve znění celého pozměňovacího návrhu Igora Červeného, Karla Havlíčka, Zuzany Mrázové a Marie Pošarové uvedeného pod bodem 2 – další pozměňovací návrhy v usnesení hospodářského výboru ze dne 30. dubna 2026 pod názvem „EIA – zvýšení efektivity povolování“) </w:t>
      </w:r>
      <w:r w:rsidRPr="00837AB7">
        <w:rPr>
          <w:rFonts w:ascii="Times New Roman" w:eastAsia="Aptos" w:hAnsi="Times New Roman" w:cs="Times New Roman"/>
          <w:bCs/>
          <w:sz w:val="24"/>
          <w:szCs w:val="24"/>
        </w:rPr>
        <w:t>a čl. XLIII (přechodná ustanovení) bod 4,</w:t>
      </w:r>
    </w:p>
    <w:p w14:paraId="349D4134" w14:textId="5E317840" w:rsidR="00D61003" w:rsidRDefault="00D61003" w:rsidP="007A3AFC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r w:rsidRPr="00837AB7">
        <w:rPr>
          <w:rFonts w:ascii="Times New Roman" w:eastAsia="Aptos" w:hAnsi="Times New Roman" w:cs="Times New Roman"/>
          <w:bCs/>
          <w:sz w:val="24"/>
          <w:szCs w:val="24"/>
        </w:rPr>
        <w:t>čl. XLIV. (vodní zákon) body 2 až 4 (§ 8) a čl. XLV (přechodná ustanovení) bod 4,</w:t>
      </w:r>
    </w:p>
    <w:p w14:paraId="0FDB28A2" w14:textId="3479FA67" w:rsidR="00D61003" w:rsidRDefault="00D61003" w:rsidP="007A3AFC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r w:rsidRPr="00837AB7">
        <w:rPr>
          <w:rFonts w:ascii="Times New Roman" w:eastAsia="Aptos" w:hAnsi="Times New Roman" w:cs="Times New Roman"/>
          <w:bCs/>
          <w:sz w:val="24"/>
          <w:szCs w:val="24"/>
        </w:rPr>
        <w:t>čl. L. (soudní řád správní)  body 2 až 5  (§ 42, 68, 101a, 101d)</w:t>
      </w:r>
      <w:r w:rsidR="00E3575B">
        <w:rPr>
          <w:rFonts w:ascii="Times New Roman" w:eastAsia="Aptos" w:hAnsi="Times New Roman" w:cs="Times New Roman"/>
          <w:bCs/>
          <w:sz w:val="24"/>
          <w:szCs w:val="24"/>
        </w:rPr>
        <w:t>.</w:t>
      </w:r>
    </w:p>
    <w:p w14:paraId="346274C0" w14:textId="77777777" w:rsidR="0093600A" w:rsidRDefault="0093600A" w:rsidP="0093600A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r w:rsidRPr="00FB3AC7">
        <w:rPr>
          <w:rFonts w:ascii="Times New Roman" w:eastAsia="Aptos" w:hAnsi="Times New Roman" w:cs="Times New Roman"/>
          <w:bCs/>
          <w:sz w:val="24"/>
          <w:szCs w:val="24"/>
        </w:rPr>
        <w:t>čl. LIX (zákon o urychlení výstavby strategicky významné infrastruktury) bod 16</w:t>
      </w:r>
      <w:r>
        <w:rPr>
          <w:rFonts w:ascii="Times New Roman" w:eastAsia="Aptos" w:hAnsi="Times New Roman" w:cs="Times New Roman"/>
          <w:bCs/>
          <w:sz w:val="24"/>
          <w:szCs w:val="24"/>
        </w:rPr>
        <w:t xml:space="preserve"> (vypuštění § 2i odst. 1) a </w:t>
      </w:r>
      <w:r w:rsidRPr="00FB3AC7">
        <w:rPr>
          <w:rFonts w:ascii="Times New Roman" w:eastAsia="Aptos" w:hAnsi="Times New Roman" w:cs="Times New Roman"/>
          <w:bCs/>
          <w:sz w:val="24"/>
          <w:szCs w:val="24"/>
        </w:rPr>
        <w:t>bod 22 (§2n odst. 4 až 8)</w:t>
      </w:r>
      <w:r>
        <w:rPr>
          <w:rFonts w:ascii="Times New Roman" w:eastAsia="Aptos" w:hAnsi="Times New Roman" w:cs="Times New Roman"/>
          <w:bCs/>
          <w:sz w:val="24"/>
          <w:szCs w:val="24"/>
        </w:rPr>
        <w:t>.</w:t>
      </w:r>
    </w:p>
    <w:p w14:paraId="5C388A18" w14:textId="47E3ADE0" w:rsidR="001D4CDD" w:rsidRPr="00D01A78" w:rsidRDefault="00D01A78" w:rsidP="00D01A78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r w:rsidRPr="00D01A78">
        <w:rPr>
          <w:rFonts w:ascii="Times New Roman" w:eastAsia="Aptos" w:hAnsi="Times New Roman" w:cs="Times New Roman"/>
          <w:bCs/>
          <w:sz w:val="24"/>
          <w:szCs w:val="24"/>
        </w:rPr>
        <w:t>Body pod písmene</w:t>
      </w:r>
      <w:r>
        <w:rPr>
          <w:rFonts w:ascii="Times New Roman" w:eastAsia="Aptos" w:hAnsi="Times New Roman" w:cs="Times New Roman"/>
          <w:bCs/>
          <w:sz w:val="24"/>
          <w:szCs w:val="24"/>
        </w:rPr>
        <w:t xml:space="preserve">m b) pak nabývají účinnosti až </w:t>
      </w:r>
      <w:r w:rsidRPr="00DF6590">
        <w:rPr>
          <w:rFonts w:ascii="Times New Roman" w:eastAsia="Aptos" w:hAnsi="Times New Roman" w:cs="Times New Roman"/>
          <w:bCs/>
          <w:sz w:val="22"/>
        </w:rPr>
        <w:t>dnem 1. ledna 2028</w:t>
      </w:r>
      <w:r>
        <w:rPr>
          <w:rFonts w:ascii="Times New Roman" w:eastAsia="Aptos" w:hAnsi="Times New Roman" w:cs="Times New Roman"/>
          <w:bCs/>
          <w:sz w:val="22"/>
        </w:rPr>
        <w:t>.</w:t>
      </w:r>
    </w:p>
    <w:sectPr w:rsidR="001D4CDD" w:rsidRPr="00D01A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3DE09" w14:textId="77777777" w:rsidR="00AE7637" w:rsidRDefault="00AE7637" w:rsidP="00A870E4">
      <w:pPr>
        <w:spacing w:after="0" w:line="240" w:lineRule="auto"/>
      </w:pPr>
      <w:r>
        <w:separator/>
      </w:r>
    </w:p>
  </w:endnote>
  <w:endnote w:type="continuationSeparator" w:id="0">
    <w:p w14:paraId="193CA501" w14:textId="77777777" w:rsidR="00AE7637" w:rsidRDefault="00AE7637" w:rsidP="00A87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3DFE" w14:textId="77777777" w:rsidR="00AE7637" w:rsidRDefault="00AE7637" w:rsidP="00A870E4">
      <w:pPr>
        <w:spacing w:after="0" w:line="240" w:lineRule="auto"/>
      </w:pPr>
      <w:r>
        <w:separator/>
      </w:r>
    </w:p>
  </w:footnote>
  <w:footnote w:type="continuationSeparator" w:id="0">
    <w:p w14:paraId="06A1DD8E" w14:textId="77777777" w:rsidR="00AE7637" w:rsidRDefault="00AE7637" w:rsidP="00A87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90C"/>
    <w:multiLevelType w:val="hybridMultilevel"/>
    <w:tmpl w:val="D15E8B92"/>
    <w:lvl w:ilvl="0" w:tplc="BFEEBB2E">
      <w:start w:val="1"/>
      <w:numFmt w:val="lowerLetter"/>
      <w:suff w:val="space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6696D"/>
    <w:multiLevelType w:val="hybridMultilevel"/>
    <w:tmpl w:val="78FA9A70"/>
    <w:lvl w:ilvl="0" w:tplc="963610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32601"/>
    <w:multiLevelType w:val="hybridMultilevel"/>
    <w:tmpl w:val="2432E650"/>
    <w:lvl w:ilvl="0" w:tplc="900458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64369"/>
    <w:multiLevelType w:val="hybridMultilevel"/>
    <w:tmpl w:val="16949820"/>
    <w:lvl w:ilvl="0" w:tplc="7FF8D920">
      <w:start w:val="1"/>
      <w:numFmt w:val="decimal"/>
      <w:suff w:val="space"/>
      <w:lvlText w:val="%1."/>
      <w:lvlJc w:val="left"/>
      <w:pPr>
        <w:ind w:left="284" w:firstLine="76"/>
      </w:pPr>
      <w:rPr>
        <w:rFonts w:hint="default"/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922A2"/>
    <w:multiLevelType w:val="hybridMultilevel"/>
    <w:tmpl w:val="C0D6672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30663"/>
    <w:multiLevelType w:val="hybridMultilevel"/>
    <w:tmpl w:val="C71E69F8"/>
    <w:lvl w:ilvl="0" w:tplc="09A8B1A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8320A3"/>
    <w:multiLevelType w:val="multilevel"/>
    <w:tmpl w:val="6602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6160C"/>
    <w:multiLevelType w:val="hybridMultilevel"/>
    <w:tmpl w:val="4784F70A"/>
    <w:lvl w:ilvl="0" w:tplc="F4865D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12285"/>
    <w:multiLevelType w:val="multilevel"/>
    <w:tmpl w:val="16DC5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5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hint="default"/>
      </w:rPr>
    </w:lvl>
  </w:abstractNum>
  <w:num w:numId="1" w16cid:durableId="506286049">
    <w:abstractNumId w:val="3"/>
  </w:num>
  <w:num w:numId="2" w16cid:durableId="1951624980">
    <w:abstractNumId w:val="1"/>
  </w:num>
  <w:num w:numId="3" w16cid:durableId="1842888290">
    <w:abstractNumId w:val="8"/>
  </w:num>
  <w:num w:numId="4" w16cid:durableId="251088940">
    <w:abstractNumId w:val="5"/>
  </w:num>
  <w:num w:numId="5" w16cid:durableId="845095266">
    <w:abstractNumId w:val="2"/>
  </w:num>
  <w:num w:numId="6" w16cid:durableId="1910916629">
    <w:abstractNumId w:val="0"/>
  </w:num>
  <w:num w:numId="7" w16cid:durableId="1197044022">
    <w:abstractNumId w:val="6"/>
  </w:num>
  <w:num w:numId="8" w16cid:durableId="1984190732">
    <w:abstractNumId w:val="4"/>
  </w:num>
  <w:num w:numId="9" w16cid:durableId="420101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B3"/>
    <w:rsid w:val="00004F7E"/>
    <w:rsid w:val="000154FD"/>
    <w:rsid w:val="00016D53"/>
    <w:rsid w:val="00033744"/>
    <w:rsid w:val="00055D09"/>
    <w:rsid w:val="00060041"/>
    <w:rsid w:val="0006255F"/>
    <w:rsid w:val="00074233"/>
    <w:rsid w:val="0008348F"/>
    <w:rsid w:val="000946FD"/>
    <w:rsid w:val="00097258"/>
    <w:rsid w:val="000B31DF"/>
    <w:rsid w:val="000B46BE"/>
    <w:rsid w:val="000B751A"/>
    <w:rsid w:val="000D1361"/>
    <w:rsid w:val="000E43E0"/>
    <w:rsid w:val="000E4500"/>
    <w:rsid w:val="000F1E50"/>
    <w:rsid w:val="00104F0C"/>
    <w:rsid w:val="0012706A"/>
    <w:rsid w:val="0013553C"/>
    <w:rsid w:val="001402E2"/>
    <w:rsid w:val="0015015B"/>
    <w:rsid w:val="001550A8"/>
    <w:rsid w:val="00165F97"/>
    <w:rsid w:val="001724ED"/>
    <w:rsid w:val="00172E22"/>
    <w:rsid w:val="0017368D"/>
    <w:rsid w:val="00184ADF"/>
    <w:rsid w:val="00191A0C"/>
    <w:rsid w:val="001B32A1"/>
    <w:rsid w:val="001C3ABA"/>
    <w:rsid w:val="001D4CDD"/>
    <w:rsid w:val="001D4D4A"/>
    <w:rsid w:val="001F02EB"/>
    <w:rsid w:val="001F5163"/>
    <w:rsid w:val="001F5E62"/>
    <w:rsid w:val="001F7E43"/>
    <w:rsid w:val="002000AB"/>
    <w:rsid w:val="00210BEF"/>
    <w:rsid w:val="00213722"/>
    <w:rsid w:val="00213E2E"/>
    <w:rsid w:val="00217A46"/>
    <w:rsid w:val="002477CD"/>
    <w:rsid w:val="00247AF4"/>
    <w:rsid w:val="002504BF"/>
    <w:rsid w:val="002528F5"/>
    <w:rsid w:val="002605C1"/>
    <w:rsid w:val="00286CE3"/>
    <w:rsid w:val="00287F33"/>
    <w:rsid w:val="00291901"/>
    <w:rsid w:val="00293D9F"/>
    <w:rsid w:val="002A1CCF"/>
    <w:rsid w:val="002A6A28"/>
    <w:rsid w:val="002D27B6"/>
    <w:rsid w:val="002E754C"/>
    <w:rsid w:val="00303E48"/>
    <w:rsid w:val="00331DFF"/>
    <w:rsid w:val="003345CA"/>
    <w:rsid w:val="00337139"/>
    <w:rsid w:val="00345068"/>
    <w:rsid w:val="003470BF"/>
    <w:rsid w:val="00354148"/>
    <w:rsid w:val="003558BB"/>
    <w:rsid w:val="00373866"/>
    <w:rsid w:val="00375B0E"/>
    <w:rsid w:val="00377CEF"/>
    <w:rsid w:val="00382528"/>
    <w:rsid w:val="0038489D"/>
    <w:rsid w:val="003906C8"/>
    <w:rsid w:val="00392226"/>
    <w:rsid w:val="00395D38"/>
    <w:rsid w:val="003C3379"/>
    <w:rsid w:val="003E0FB1"/>
    <w:rsid w:val="003E42EC"/>
    <w:rsid w:val="003F3D16"/>
    <w:rsid w:val="003F57C5"/>
    <w:rsid w:val="003F7DBB"/>
    <w:rsid w:val="0040544C"/>
    <w:rsid w:val="00413504"/>
    <w:rsid w:val="00427BE3"/>
    <w:rsid w:val="00433F12"/>
    <w:rsid w:val="00434D9D"/>
    <w:rsid w:val="00434EDC"/>
    <w:rsid w:val="0044091D"/>
    <w:rsid w:val="00462285"/>
    <w:rsid w:val="00462920"/>
    <w:rsid w:val="00465DC6"/>
    <w:rsid w:val="00480FA2"/>
    <w:rsid w:val="004A6769"/>
    <w:rsid w:val="004A7350"/>
    <w:rsid w:val="004B1AA4"/>
    <w:rsid w:val="004B1AF8"/>
    <w:rsid w:val="004B7FE0"/>
    <w:rsid w:val="004D20AB"/>
    <w:rsid w:val="004D3F4B"/>
    <w:rsid w:val="004D4332"/>
    <w:rsid w:val="004D563F"/>
    <w:rsid w:val="004E23B6"/>
    <w:rsid w:val="004E4FE5"/>
    <w:rsid w:val="004F2A1C"/>
    <w:rsid w:val="004F6B49"/>
    <w:rsid w:val="005141DB"/>
    <w:rsid w:val="005164AA"/>
    <w:rsid w:val="00520E6A"/>
    <w:rsid w:val="0052223F"/>
    <w:rsid w:val="005245CB"/>
    <w:rsid w:val="00527217"/>
    <w:rsid w:val="005340CE"/>
    <w:rsid w:val="00537CC3"/>
    <w:rsid w:val="00552808"/>
    <w:rsid w:val="00555DAF"/>
    <w:rsid w:val="00556175"/>
    <w:rsid w:val="0056052D"/>
    <w:rsid w:val="0056685A"/>
    <w:rsid w:val="00592898"/>
    <w:rsid w:val="005A0BF5"/>
    <w:rsid w:val="005B2B50"/>
    <w:rsid w:val="005B3FD0"/>
    <w:rsid w:val="005C64B7"/>
    <w:rsid w:val="005C66CC"/>
    <w:rsid w:val="005D49A8"/>
    <w:rsid w:val="005D78C5"/>
    <w:rsid w:val="005E6603"/>
    <w:rsid w:val="005E77C9"/>
    <w:rsid w:val="005E7A91"/>
    <w:rsid w:val="005F5E72"/>
    <w:rsid w:val="005F74D9"/>
    <w:rsid w:val="005F7A00"/>
    <w:rsid w:val="00612198"/>
    <w:rsid w:val="00620803"/>
    <w:rsid w:val="006233C7"/>
    <w:rsid w:val="0062534F"/>
    <w:rsid w:val="0063285A"/>
    <w:rsid w:val="006336BF"/>
    <w:rsid w:val="00634414"/>
    <w:rsid w:val="00635956"/>
    <w:rsid w:val="00636A7F"/>
    <w:rsid w:val="006440CE"/>
    <w:rsid w:val="00655732"/>
    <w:rsid w:val="00661C79"/>
    <w:rsid w:val="00672DB0"/>
    <w:rsid w:val="00673A74"/>
    <w:rsid w:val="00686861"/>
    <w:rsid w:val="0069339D"/>
    <w:rsid w:val="00697B6A"/>
    <w:rsid w:val="006B454E"/>
    <w:rsid w:val="006C5EE3"/>
    <w:rsid w:val="006C757A"/>
    <w:rsid w:val="006E333F"/>
    <w:rsid w:val="006E5D1B"/>
    <w:rsid w:val="006F232E"/>
    <w:rsid w:val="00705AEF"/>
    <w:rsid w:val="00714E4E"/>
    <w:rsid w:val="00725E35"/>
    <w:rsid w:val="00745BBD"/>
    <w:rsid w:val="00760797"/>
    <w:rsid w:val="007632AC"/>
    <w:rsid w:val="00766547"/>
    <w:rsid w:val="00780F3D"/>
    <w:rsid w:val="00785CBC"/>
    <w:rsid w:val="00792A50"/>
    <w:rsid w:val="007959BA"/>
    <w:rsid w:val="007A3AFC"/>
    <w:rsid w:val="007B051C"/>
    <w:rsid w:val="007B1B78"/>
    <w:rsid w:val="007B65CE"/>
    <w:rsid w:val="007C52FA"/>
    <w:rsid w:val="007D3879"/>
    <w:rsid w:val="007D7586"/>
    <w:rsid w:val="007E6108"/>
    <w:rsid w:val="008101EC"/>
    <w:rsid w:val="00815871"/>
    <w:rsid w:val="00820C13"/>
    <w:rsid w:val="00823993"/>
    <w:rsid w:val="0082495C"/>
    <w:rsid w:val="00837AB7"/>
    <w:rsid w:val="0084539B"/>
    <w:rsid w:val="0084781E"/>
    <w:rsid w:val="00850537"/>
    <w:rsid w:val="008509EC"/>
    <w:rsid w:val="00850D90"/>
    <w:rsid w:val="0085642E"/>
    <w:rsid w:val="00861630"/>
    <w:rsid w:val="00862C16"/>
    <w:rsid w:val="0086486E"/>
    <w:rsid w:val="00865839"/>
    <w:rsid w:val="00865D64"/>
    <w:rsid w:val="0086666C"/>
    <w:rsid w:val="00877043"/>
    <w:rsid w:val="0088205D"/>
    <w:rsid w:val="0088448A"/>
    <w:rsid w:val="008C566C"/>
    <w:rsid w:val="008D5442"/>
    <w:rsid w:val="008E49CB"/>
    <w:rsid w:val="008F0D64"/>
    <w:rsid w:val="00903930"/>
    <w:rsid w:val="00914778"/>
    <w:rsid w:val="0092647F"/>
    <w:rsid w:val="0093600A"/>
    <w:rsid w:val="00937856"/>
    <w:rsid w:val="00944173"/>
    <w:rsid w:val="00952941"/>
    <w:rsid w:val="009550E7"/>
    <w:rsid w:val="00962A80"/>
    <w:rsid w:val="009632BF"/>
    <w:rsid w:val="009669F0"/>
    <w:rsid w:val="00972E95"/>
    <w:rsid w:val="009804D9"/>
    <w:rsid w:val="009F0464"/>
    <w:rsid w:val="009F4D9F"/>
    <w:rsid w:val="009F5C7C"/>
    <w:rsid w:val="00A028B6"/>
    <w:rsid w:val="00A04279"/>
    <w:rsid w:val="00A32C83"/>
    <w:rsid w:val="00A44432"/>
    <w:rsid w:val="00A453A2"/>
    <w:rsid w:val="00A50612"/>
    <w:rsid w:val="00A51286"/>
    <w:rsid w:val="00A60A92"/>
    <w:rsid w:val="00A76F19"/>
    <w:rsid w:val="00A870E4"/>
    <w:rsid w:val="00AB37BA"/>
    <w:rsid w:val="00AB5180"/>
    <w:rsid w:val="00AB566F"/>
    <w:rsid w:val="00AD0B59"/>
    <w:rsid w:val="00AE20B3"/>
    <w:rsid w:val="00AE308C"/>
    <w:rsid w:val="00AE7637"/>
    <w:rsid w:val="00AF3386"/>
    <w:rsid w:val="00B149B2"/>
    <w:rsid w:val="00B155C6"/>
    <w:rsid w:val="00B3480E"/>
    <w:rsid w:val="00B61D98"/>
    <w:rsid w:val="00B7175A"/>
    <w:rsid w:val="00B87859"/>
    <w:rsid w:val="00B905AA"/>
    <w:rsid w:val="00B94524"/>
    <w:rsid w:val="00B97768"/>
    <w:rsid w:val="00BA7EFB"/>
    <w:rsid w:val="00BB2DD1"/>
    <w:rsid w:val="00BB4578"/>
    <w:rsid w:val="00BD1614"/>
    <w:rsid w:val="00BD5936"/>
    <w:rsid w:val="00BE34C2"/>
    <w:rsid w:val="00BF584A"/>
    <w:rsid w:val="00C16470"/>
    <w:rsid w:val="00C754EE"/>
    <w:rsid w:val="00C82E37"/>
    <w:rsid w:val="00C85714"/>
    <w:rsid w:val="00C97FE8"/>
    <w:rsid w:val="00CA46D9"/>
    <w:rsid w:val="00CB6796"/>
    <w:rsid w:val="00CC087D"/>
    <w:rsid w:val="00CC4E90"/>
    <w:rsid w:val="00CC516C"/>
    <w:rsid w:val="00CD2C0F"/>
    <w:rsid w:val="00CD7F1F"/>
    <w:rsid w:val="00CE37BD"/>
    <w:rsid w:val="00CE5753"/>
    <w:rsid w:val="00CE61D0"/>
    <w:rsid w:val="00CF357A"/>
    <w:rsid w:val="00CF72F5"/>
    <w:rsid w:val="00CF77A5"/>
    <w:rsid w:val="00D01A78"/>
    <w:rsid w:val="00D13C23"/>
    <w:rsid w:val="00D14981"/>
    <w:rsid w:val="00D16818"/>
    <w:rsid w:val="00D27568"/>
    <w:rsid w:val="00D33CDF"/>
    <w:rsid w:val="00D42C61"/>
    <w:rsid w:val="00D61003"/>
    <w:rsid w:val="00DA555D"/>
    <w:rsid w:val="00DA6FC7"/>
    <w:rsid w:val="00DB1598"/>
    <w:rsid w:val="00DB21F9"/>
    <w:rsid w:val="00DB55DB"/>
    <w:rsid w:val="00DB5B53"/>
    <w:rsid w:val="00DB6FF6"/>
    <w:rsid w:val="00DC1F37"/>
    <w:rsid w:val="00DC227E"/>
    <w:rsid w:val="00DC43D5"/>
    <w:rsid w:val="00DC74A3"/>
    <w:rsid w:val="00DD6B55"/>
    <w:rsid w:val="00DE76FD"/>
    <w:rsid w:val="00DF03A1"/>
    <w:rsid w:val="00DF6590"/>
    <w:rsid w:val="00DF7019"/>
    <w:rsid w:val="00E048DF"/>
    <w:rsid w:val="00E24CC6"/>
    <w:rsid w:val="00E3575B"/>
    <w:rsid w:val="00E37AB2"/>
    <w:rsid w:val="00E427FB"/>
    <w:rsid w:val="00E42B6A"/>
    <w:rsid w:val="00E44117"/>
    <w:rsid w:val="00E4465E"/>
    <w:rsid w:val="00E531E8"/>
    <w:rsid w:val="00E545DC"/>
    <w:rsid w:val="00E5497C"/>
    <w:rsid w:val="00E61E8E"/>
    <w:rsid w:val="00E62C53"/>
    <w:rsid w:val="00E65145"/>
    <w:rsid w:val="00E70E97"/>
    <w:rsid w:val="00E73AF5"/>
    <w:rsid w:val="00E76FC4"/>
    <w:rsid w:val="00E940B4"/>
    <w:rsid w:val="00EB1FF2"/>
    <w:rsid w:val="00ED6283"/>
    <w:rsid w:val="00EE161D"/>
    <w:rsid w:val="00F014C3"/>
    <w:rsid w:val="00F071D0"/>
    <w:rsid w:val="00F10353"/>
    <w:rsid w:val="00F41396"/>
    <w:rsid w:val="00F72F60"/>
    <w:rsid w:val="00F735A5"/>
    <w:rsid w:val="00F856CF"/>
    <w:rsid w:val="00F92103"/>
    <w:rsid w:val="00F9576C"/>
    <w:rsid w:val="00F959D0"/>
    <w:rsid w:val="00F9730D"/>
    <w:rsid w:val="00FA562F"/>
    <w:rsid w:val="00FB1623"/>
    <w:rsid w:val="00FB3AC7"/>
    <w:rsid w:val="00FC1E05"/>
    <w:rsid w:val="00FD34F7"/>
    <w:rsid w:val="00FD6A58"/>
    <w:rsid w:val="00FF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572F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E20B3"/>
    <w:rPr>
      <w:rFonts w:ascii="Arial" w:hAnsi="Arial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E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E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E20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E20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E20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E20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E20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E20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E20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E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E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E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E20B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E20B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E20B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E20B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E20B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E20B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E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E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E20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E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E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E20B3"/>
    <w:rPr>
      <w:rFonts w:ascii="Arial" w:hAnsi="Arial"/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E20B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E20B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E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E20B3"/>
    <w:rPr>
      <w:rFonts w:ascii="Arial" w:hAnsi="Arial"/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E20B3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F9730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F9730D"/>
    <w:pPr>
      <w:spacing w:line="240" w:lineRule="auto"/>
    </w:pPr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F9730D"/>
    <w:rPr>
      <w:rFonts w:ascii="Arial" w:hAnsi="Arial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9730D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9730D"/>
    <w:rPr>
      <w:rFonts w:ascii="Arial" w:hAnsi="Arial"/>
      <w:b/>
      <w:bCs/>
      <w:sz w:val="20"/>
      <w:szCs w:val="20"/>
    </w:rPr>
  </w:style>
  <w:style w:type="paragraph" w:styleId="Revize">
    <w:name w:val="Revision"/>
    <w:hidden/>
    <w:uiPriority w:val="99"/>
    <w:semiHidden/>
    <w:rsid w:val="007E6108"/>
    <w:pPr>
      <w:spacing w:after="0" w:line="240" w:lineRule="auto"/>
    </w:pPr>
    <w:rPr>
      <w:rFonts w:ascii="Arial" w:hAnsi="Arial"/>
      <w:sz w:val="20"/>
    </w:rPr>
  </w:style>
  <w:style w:type="paragraph" w:styleId="Zhlav">
    <w:name w:val="header"/>
    <w:basedOn w:val="Normln"/>
    <w:link w:val="ZhlavChar"/>
    <w:uiPriority w:val="99"/>
    <w:unhideWhenUsed/>
    <w:rsid w:val="00A870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870E4"/>
    <w:rPr>
      <w:rFonts w:ascii="Arial" w:hAnsi="Arial"/>
      <w:sz w:val="20"/>
    </w:rPr>
  </w:style>
  <w:style w:type="paragraph" w:styleId="Zpat">
    <w:name w:val="footer"/>
    <w:basedOn w:val="Normln"/>
    <w:link w:val="ZpatChar"/>
    <w:uiPriority w:val="99"/>
    <w:unhideWhenUsed/>
    <w:rsid w:val="00A870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870E4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009D6-3A15-4506-B485-734A7D185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766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2026-05-27T08:00:00Z</dcterms:created>
  <dcterms:modified xsi:type="dcterms:W3CDTF">2026-05-27T08:00:00Z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5a8442-68f3-4087-8f05-d564bed44e92_Enabled">
    <vt:lpwstr>true</vt:lpwstr>
  </property>
  <property fmtid="{D5CDD505-2E9C-101B-9397-08002B2CF9AE}" pid="3" name="MSIP_Label_f15a8442-68f3-4087-8f05-d564bed44e92_SetDate">
    <vt:lpwstr>2026-05-26T08:48:43Z</vt:lpwstr>
  </property>
  <property fmtid="{D5CDD505-2E9C-101B-9397-08002B2CF9AE}" pid="4" name="MSIP_Label_f15a8442-68f3-4087-8f05-d564bed44e92_Method">
    <vt:lpwstr>Standard</vt:lpwstr>
  </property>
  <property fmtid="{D5CDD505-2E9C-101B-9397-08002B2CF9AE}" pid="5" name="MSIP_Label_f15a8442-68f3-4087-8f05-d564bed44e92_Name">
    <vt:lpwstr>97171605-0670-4512-b8c8-ebe12520d29a</vt:lpwstr>
  </property>
  <property fmtid="{D5CDD505-2E9C-101B-9397-08002B2CF9AE}" pid="6" name="MSIP_Label_f15a8442-68f3-4087-8f05-d564bed44e92_SiteId">
    <vt:lpwstr>138f17b0-6ad5-4ddf-a195-24e73c3655fd</vt:lpwstr>
  </property>
  <property fmtid="{D5CDD505-2E9C-101B-9397-08002B2CF9AE}" pid="7" name="MSIP_Label_f15a8442-68f3-4087-8f05-d564bed44e92_ActionId">
    <vt:lpwstr>7c38051f-f890-4660-ba47-4bd0efa2476e</vt:lpwstr>
  </property>
  <property fmtid="{D5CDD505-2E9C-101B-9397-08002B2CF9AE}" pid="8" name="MSIP_Label_f15a8442-68f3-4087-8f05-d564bed44e92_ContentBits">
    <vt:lpwstr>0</vt:lpwstr>
  </property>
  <property fmtid="{D5CDD505-2E9C-101B-9397-08002B2CF9AE}" pid="9" name="MSIP_Label_f15a8442-68f3-4087-8f05-d564bed44e92_Tag">
    <vt:lpwstr>10, 3, 0, 1</vt:lpwstr>
  </property>
</Properties>
</file>