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after="200" w:before="200" w:line="276" w:lineRule="auto"/>
        <w:jc w:val="center"/>
        <w:rPr>
          <w:rFonts w:ascii="Times New Roman" w:cs="Times New Roman" w:eastAsia="Times New Roman" w:hAnsi="Times New Roman"/>
          <w:b w:val="1"/>
          <w:bCs w:val="1"/>
          <w:sz w:val="36"/>
          <w:szCs w:val="36"/>
        </w:rPr>
      </w:pPr>
      <w:bookmarkStart w:colFirst="0" w:colLast="0" w:name="_gjdgxs" w:id="0"/>
      <w:bookmarkEnd w:id="0"/>
      <w:r w:rsidDel="00000000" w:rsidR="00000000" w:rsidRPr="00000000">
        <w:rPr>
          <w:rFonts w:ascii="Times New Roman" w:cs="Times New Roman" w:eastAsia="Times New Roman" w:hAnsi="Times New Roman"/>
          <w:b w:val="1"/>
          <w:bCs w:val="1"/>
          <w:sz w:val="36"/>
          <w:szCs w:val="36"/>
          <w:rtl w:val="0"/>
        </w:rPr>
        <w:t xml:space="preserve">PARLAMENT ČESKÉ REPUBLIKY</w:t>
      </w:r>
    </w:p>
    <w:p w:rsidR="00000000" w:rsidDel="00000000" w:rsidP="00000000" w:rsidRDefault="00000000" w:rsidRPr="00000000" w14:paraId="00000002">
      <w:pPr>
        <w:widowControl w:val="0"/>
        <w:tabs>
          <w:tab w:val="center" w:leader="none" w:pos="4536"/>
          <w:tab w:val="right" w:leader="none" w:pos="9072"/>
        </w:tabs>
        <w:spacing w:after="200" w:before="200"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ab/>
        <w:t xml:space="preserve">Poslanecká sněmovna</w:t>
        <w:tab/>
      </w:r>
    </w:p>
    <w:p w:rsidR="00000000" w:rsidDel="00000000" w:rsidP="00000000" w:rsidRDefault="00000000" w:rsidRPr="00000000" w14:paraId="00000003">
      <w:pPr>
        <w:widowControl w:val="0"/>
        <w:spacing w:after="200" w:before="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2026</w:t>
      </w:r>
    </w:p>
    <w:p w:rsidR="00000000" w:rsidDel="00000000" w:rsidP="00000000" w:rsidRDefault="00000000" w:rsidRPr="00000000" w14:paraId="00000004">
      <w:pPr>
        <w:widowControl w:val="0"/>
        <w:spacing w:after="200" w:before="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X. volební období</w:t>
      </w:r>
    </w:p>
    <w:p w:rsidR="00000000" w:rsidDel="00000000" w:rsidP="00000000" w:rsidRDefault="00000000" w:rsidRPr="00000000" w14:paraId="00000005">
      <w:pPr>
        <w:widowControl w:val="0"/>
        <w:spacing w:after="200" w:before="20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___________________________________________________________</w:t>
      </w:r>
    </w:p>
    <w:p w:rsidR="00000000" w:rsidDel="00000000" w:rsidP="00000000" w:rsidRDefault="00000000" w:rsidRPr="00000000" w14:paraId="00000006">
      <w:pPr>
        <w:widowControl w:val="0"/>
        <w:spacing w:after="200" w:before="20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spacing w:after="200" w:before="20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Pozměňovací návrh </w:t>
      </w:r>
    </w:p>
    <w:p w:rsidR="00000000" w:rsidDel="00000000" w:rsidP="00000000" w:rsidRDefault="00000000" w:rsidRPr="00000000" w14:paraId="00000009">
      <w:pPr>
        <w:keepNext w:val="1"/>
        <w:keepLines w:val="1"/>
        <w:widowControl w:val="0"/>
        <w:spacing w:after="20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poslankyň</w:t>
      </w:r>
    </w:p>
    <w:p w:rsidR="00000000" w:rsidDel="00000000" w:rsidP="00000000" w:rsidRDefault="00000000" w:rsidRPr="00000000" w14:paraId="0000000A">
      <w:pPr>
        <w:keepNext w:val="1"/>
        <w:keepLines w:val="1"/>
        <w:widowControl w:val="0"/>
        <w:spacing w:after="200"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Veroniky Kovářové, Gabriely Svárovské, Olgy Richterové, Andrey Hoffmannové, Hany Ančincové, Evy Šrámkové, Lenky Martínkové Španihelové a Ivana Bartoše</w:t>
      </w:r>
      <w:r w:rsidDel="00000000" w:rsidR="00000000" w:rsidRPr="00000000">
        <w:rPr>
          <w:rtl w:val="0"/>
        </w:rPr>
      </w:r>
    </w:p>
    <w:p w:rsidR="00000000" w:rsidDel="00000000" w:rsidP="00000000" w:rsidRDefault="00000000" w:rsidRPr="00000000" w14:paraId="0000000B">
      <w:pPr>
        <w:widowControl w:val="0"/>
        <w:spacing w:after="200" w:before="20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 komplexnímu pozměňovacímu návrhu uvedenému v usnesení hospodářského výboru č. 55 ze dne 30. dubna 2026 </w:t>
      </w:r>
    </w:p>
    <w:p w:rsidR="00000000" w:rsidDel="00000000" w:rsidP="00000000" w:rsidRDefault="00000000" w:rsidRPr="00000000" w14:paraId="0000000D">
      <w:pPr>
        <w:spacing w:after="2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rsidR="00000000" w:rsidDel="00000000" w:rsidP="00000000" w:rsidRDefault="00000000" w:rsidRPr="00000000" w14:paraId="0000000E">
      <w:pPr>
        <w:widowControl w:val="0"/>
        <w:spacing w:after="200" w:before="200"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F">
      <w:pPr>
        <w:widowControl w:val="0"/>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40"/>
          <w:szCs w:val="40"/>
          <w:rtl w:val="0"/>
        </w:rPr>
        <w:t xml:space="preserve">ST 67/11</w:t>
      </w:r>
      <w:r w:rsidDel="00000000" w:rsidR="00000000" w:rsidRPr="00000000">
        <w:rPr>
          <w:rtl w:val="0"/>
        </w:rPr>
      </w:r>
    </w:p>
    <w:p w:rsidR="00000000" w:rsidDel="00000000" w:rsidP="00000000" w:rsidRDefault="00000000" w:rsidRPr="00000000" w14:paraId="00000010">
      <w:pPr>
        <w:widowControl w:val="0"/>
        <w:spacing w:after="200" w:before="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widowControl w:val="0"/>
        <w:spacing w:after="200" w:before="20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spacing w:after="200" w:before="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Datum: </w:t>
      </w:r>
      <w:r w:rsidDel="00000000" w:rsidR="00000000" w:rsidRPr="00000000">
        <w:rPr>
          <w:rFonts w:ascii="Times New Roman" w:cs="Times New Roman" w:eastAsia="Times New Roman" w:hAnsi="Times New Roman"/>
          <w:sz w:val="24"/>
          <w:szCs w:val="24"/>
          <w:rtl w:val="0"/>
        </w:rPr>
        <w:t xml:space="preserve">27. 5. 2026</w:t>
      </w:r>
      <w:r w:rsidDel="00000000" w:rsidR="00000000" w:rsidRPr="00000000">
        <w:br w:type="page"/>
      </w:r>
      <w:r w:rsidDel="00000000" w:rsidR="00000000" w:rsidRPr="00000000">
        <w:rPr>
          <w:rtl w:val="0"/>
        </w:rPr>
      </w:r>
    </w:p>
    <w:p w:rsidR="00000000" w:rsidDel="00000000" w:rsidP="00000000" w:rsidRDefault="00000000" w:rsidRPr="00000000" w14:paraId="00000014">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části první v Čl. I komplexního pozměňovacího návrhu uvedeného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r w:rsidDel="00000000" w:rsidR="00000000" w:rsidRPr="00000000">
        <w:rPr>
          <w:rFonts w:ascii="Times New Roman" w:cs="Times New Roman" w:eastAsia="Times New Roman" w:hAnsi="Times New Roman"/>
          <w:sz w:val="24"/>
          <w:szCs w:val="24"/>
          <w:rtl w:val="0"/>
        </w:rPr>
        <w:t xml:space="preserve"> se novelizační body 33, 184 a 450 zrušují.</w:t>
      </w:r>
    </w:p>
    <w:p w:rsidR="00000000" w:rsidDel="00000000" w:rsidP="00000000" w:rsidRDefault="00000000" w:rsidRPr="00000000" w14:paraId="00000015">
      <w:pPr>
        <w:widowControl w:val="0"/>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Dosavadní body se přečíslují.</w:t>
      </w:r>
      <w:r w:rsidDel="00000000" w:rsidR="00000000" w:rsidRPr="00000000">
        <w:br w:type="page"/>
      </w:r>
      <w:r w:rsidDel="00000000" w:rsidR="00000000" w:rsidRPr="00000000">
        <w:rPr>
          <w:rtl w:val="0"/>
        </w:rPr>
      </w:r>
    </w:p>
    <w:p w:rsidR="00000000" w:rsidDel="00000000" w:rsidP="00000000" w:rsidRDefault="00000000" w:rsidRPr="00000000" w14:paraId="00000016">
      <w:pPr>
        <w:widowControl w:val="0"/>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d ů v o d n ě n í</w:t>
      </w:r>
    </w:p>
    <w:p w:rsidR="00000000" w:rsidDel="00000000" w:rsidP="00000000" w:rsidRDefault="00000000" w:rsidRPr="00000000" w14:paraId="00000017">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Navrhuje se zrušit novelizační body 33, 184 a 450 komplexního pozměňovacího návrhu uvedeného v usnesení Hospodářského výboru PSP č. 55, neboť </w:t>
      </w:r>
      <w:r w:rsidDel="00000000" w:rsidR="00000000" w:rsidRPr="00000000">
        <w:rPr>
          <w:rFonts w:ascii="Times New Roman" w:cs="Times New Roman" w:eastAsia="Times New Roman" w:hAnsi="Times New Roman"/>
          <w:b w:val="1"/>
          <w:bCs w:val="1"/>
          <w:sz w:val="24"/>
          <w:szCs w:val="24"/>
          <w:rtl w:val="0"/>
        </w:rPr>
        <w:t xml:space="preserve">jejich přijetím by došlo k odstranění uceleného právního rámce pro dostupné nájemní bydlení</w:t>
      </w:r>
      <w:r w:rsidDel="00000000" w:rsidR="00000000" w:rsidRPr="00000000">
        <w:rPr>
          <w:rFonts w:ascii="Times New Roman" w:cs="Times New Roman" w:eastAsia="Times New Roman" w:hAnsi="Times New Roman"/>
          <w:sz w:val="24"/>
          <w:szCs w:val="24"/>
          <w:rtl w:val="0"/>
        </w:rPr>
        <w:t xml:space="preserve">, který byl do stavebního zákona zaveden teprve nedávno jako součást širší legislativní podpory dostupnosti bydlení. Těmito body se ruší jednak definice </w:t>
      </w:r>
      <w:r w:rsidDel="00000000" w:rsidR="00000000" w:rsidRPr="00000000">
        <w:rPr>
          <w:rFonts w:ascii="Times New Roman" w:cs="Times New Roman" w:eastAsia="Times New Roman" w:hAnsi="Times New Roman"/>
          <w:i w:val="1"/>
          <w:iCs w:val="1"/>
          <w:sz w:val="24"/>
          <w:szCs w:val="24"/>
          <w:rtl w:val="0"/>
        </w:rPr>
        <w:t xml:space="preserve">„domu pro dostupné nájemní bydlení“</w:t>
      </w:r>
      <w:r w:rsidDel="00000000" w:rsidR="00000000" w:rsidRPr="00000000">
        <w:rPr>
          <w:rFonts w:ascii="Times New Roman" w:cs="Times New Roman" w:eastAsia="Times New Roman" w:hAnsi="Times New Roman"/>
          <w:sz w:val="24"/>
          <w:szCs w:val="24"/>
          <w:rtl w:val="0"/>
        </w:rPr>
        <w:t xml:space="preserve"> v § 13 písm. q), jednak výslovná možnost obce vymezit takovou stavbu v regulačním plánu podle § 86 odst. 5, a dále zvláštní ustanovení § 201 a 202, která upravují obsah plánovací smlouvy o dostupném nájemním bydlení a některé odchylky v povolovacím režimu. Nejde tedy o izolované technické změny, ale o odstranění navzájem provázaného institutu.</w:t>
      </w:r>
    </w:p>
    <w:p w:rsidR="00000000" w:rsidDel="00000000" w:rsidP="00000000" w:rsidRDefault="00000000" w:rsidRPr="00000000" w14:paraId="00000018">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Současná právní úprava byla přijata zákonem č. 126/2024 Sb. právě s cílem vytvořit vazbu mezi systémem veřejné podpory dostupného nájemního bydlení podle zákona o Státním fondu podpory investic a nástroji územního plánování a stavebního práva. Stavební zákon proto dnes nejen definuje dům pro dostupné nájemní bydlení, ale také umožňuje jeho vymezení v regulačním plánu a upravuje zvláštní náležitosti žádosti a podmínky povolení. Současně zákon o Státním fondu podpory investic obsahuje samostatnou část o dostupném nájemním bydlení, v níž vymezuje dostupné nájemné, cílové skupiny, pravidla nájemní smlouvy a možnost nastavit podmínky podpory. Zrušení stavebněprávní části tohoto institutu by tak narušilo soulad mezi veřejnoprávní podporou dostupného nájemního bydlení a nástroji jeho územního a povolovacího prosazení. </w:t>
      </w:r>
    </w:p>
    <w:p w:rsidR="00000000" w:rsidDel="00000000" w:rsidP="00000000" w:rsidRDefault="00000000" w:rsidRPr="00000000" w14:paraId="00000019">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Návrh zákona odůvodňuje zrušení tohoto institutu tím, že se </w:t>
      </w:r>
      <w:r w:rsidDel="00000000" w:rsidR="00000000" w:rsidRPr="00000000">
        <w:rPr>
          <w:rFonts w:ascii="Times New Roman" w:cs="Times New Roman" w:eastAsia="Times New Roman" w:hAnsi="Times New Roman"/>
          <w:i w:val="1"/>
          <w:iCs w:val="1"/>
          <w:sz w:val="24"/>
          <w:szCs w:val="24"/>
          <w:rtl w:val="0"/>
        </w:rPr>
        <w:t xml:space="preserve">„v praxi neosvědčil“</w:t>
      </w:r>
      <w:r w:rsidDel="00000000" w:rsidR="00000000" w:rsidRPr="00000000">
        <w:rPr>
          <w:rFonts w:ascii="Times New Roman" w:cs="Times New Roman" w:eastAsia="Times New Roman" w:hAnsi="Times New Roman"/>
          <w:sz w:val="24"/>
          <w:szCs w:val="24"/>
          <w:rtl w:val="0"/>
        </w:rPr>
        <w:t xml:space="preserve"> a že podpora bydlení má být nově řešena prostřednictvím obecných institutů. Toto odůvodnění však není přesvědčivé. Program Dostupné nájemní bydlení Státního fondu podpory investic zahájil příjem žádostí až dne 1. října 2024, přičemž nové znění podmínek programu bylo schváleno vládou dne 2. července 2025 a aktualizované dokumenty jsou účinné od 10. února 2026. V situaci, kdy je podpůrný program stále aktivní a jeho podmínky byly ještě v roce 2025 a 2026 dále upravovány, nelze bez přesvědčivých dat uzavřít, že se celý institut „neosvědčil“. Spíše jde o předčasné opuštění nástroje, který dosud neměl dostatek času k plnému projevení svých účinků v aplikační praxi.</w:t>
      </w:r>
    </w:p>
    <w:p w:rsidR="00000000" w:rsidDel="00000000" w:rsidP="00000000" w:rsidRDefault="00000000" w:rsidRPr="00000000" w14:paraId="0000001A">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Obecné instituty, na něž návrh zákona odkazuje, navíc nejsou plnohodnotnou náhradou rušené úpravy. Zvláštní režim domu pro dostupné nájemní bydlení v § 201 stavebního zákona vytváří konkrétní právní vazbu mezi stavebním povolením, obcí a dlouhodobým závazkem stavebníka poskytovat alespoň po dobu 20 let nejméně 80 % podlahové plochy sloužící bydlení pro dostupné nájemní bydlení, a to za dostupné nájemné a za podmínek kontrolovatelných obcí. Součástí plánovací smlouvy musí být rovněž omezení zcizení či zatížení bytového domu bez souhlasu obce, ujednání o kontrole plnění a smluvní pokuta. Stavební úřad přitom při povolení ověřuje přítomnost klíčových smluvních ujednání. Tento soubor garancí nelze nahradit ani obecným deklarováním podpory bydlení v účelu zákona, ani obecnou preferencí staveb pro bydlení, protože tyto obecné instituty samy o sobě nezajišťují dlouhodobou cenovou dostupnost bytů, vazbu na cílové skupiny ani kontrolní roli obce. </w:t>
      </w:r>
    </w:p>
    <w:p w:rsidR="00000000" w:rsidDel="00000000" w:rsidP="00000000" w:rsidRDefault="00000000" w:rsidRPr="00000000" w14:paraId="0000001B">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Zrušení § 86 odst. 5 stavebního zákona by současně oslabilo postavení obcí při aktivní bytové politice. Právě možnost vymezit v regulačním plánu stavbu domu pro dostupné nájemní bydlení, včetně stanovení podílu bytů určených pro dostupné nájemní bydlení, představuje specifický nástroj územního plánování, který umožňuje obci promítnout veřejný zájem na dostupnosti bydlení přímo do koncepce rozvoje konkrétního území. Odstranění tohoto ustanovení by obce připravilo o výslovnou zákonnou oporu pro takový postup a oslabilo by jejich možnost spojit urbanistické řešení území s konkrétními cíli bytové politiky. To je o to méně logické, že samotná důvodová zpráva k projednávanému návrhu zákona výslovně uznává nedostupnost bydlení jako celospolečenský problém a sama odkazuje na zákon č. 126/2024 Sb. o podpoře dostupného nájemního bydlení jako na legislativní vyjádření veřejného zájmu v této oblasti.</w:t>
      </w:r>
    </w:p>
    <w:p w:rsidR="00000000" w:rsidDel="00000000" w:rsidP="00000000" w:rsidRDefault="00000000" w:rsidRPr="00000000" w14:paraId="0000001C">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Stejně tak není důvod rušit zvláštní ustanovení § 202, podle něhož pro záměr domu pro dostupné nájemní bydlení není potřeba souhlas vlastníka podle § 187 stavebního zákona. I toto ustanovení je součástí zvláštního režimu, který má odstranit některé typické praktické bariéry projektů dostupného nájemního bydlení, zejména tam, kde je veřejný zájem na zajištění dostupných bytů podpořen plánovací smlouvou s obcí a dalšími zákonnými garancemi. Jeho vypuštění by vedlo k oslabení procesní průchodnosti těchto záměrů, aniž by bylo předloženo přesvědčivé odůvodnění, proč má být právě tento nástroj odstraněn.</w:t>
      </w:r>
    </w:p>
    <w:p w:rsidR="00000000" w:rsidDel="00000000" w:rsidP="00000000" w:rsidRDefault="00000000" w:rsidRPr="00000000" w14:paraId="0000001D">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Navržené zrušení je problematické i z hlediska právní jistoty a stability právního prostředí. Institut domu pro dostupné nájemní bydlení byl do stavebního zákona zaveden teprve v roce 2024 a je bezprostředně navázán na stále účinný a fungující systém podpory podle zákona o Státním fondu podpory investic. Jeho odstranění po tak krátké době, bez doloženého vyhodnocení dopadů a bez předložení skutečně rovnocenné náhrady, by vyslalo negativní signál obcím i investorům připravujícím projekty dostupného nájemního bydlení. Takový postup by snižoval předvídatelnost právního prostředí a mohl by odrazovat od využívání nástrojů, které mají podpořit vznik dlouhodobě cenově dostupného nájemního fondu. Tento závěr je přinejmenším rozumnou a věcně podloženou inferencí z toho, že zákonný podpůrný rámec podle SFPI nadále trvá, zatímco stavebněprávní opora má být odstraněna. </w:t>
      </w:r>
    </w:p>
    <w:p w:rsidR="00000000" w:rsidDel="00000000" w:rsidP="00000000" w:rsidRDefault="00000000" w:rsidRPr="00000000" w14:paraId="0000001E">
      <w:pPr>
        <w:widowControl w:val="0"/>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Pozměňovací návrh proto sleduje zachování systematického a funkčního propojení mezi právní úpravou podpory dostupného nájemního bydlení, územním plánováním a povolováním staveb. Zachování dosavadních ustanovení stavebního zákona je namístě nejen z důvodu podpory výstavby dostupných nájemních bytů, ale také z důvodu ochrany právní jistoty obcí, stavebníků a dalších subjektů, které mají na existenci stabilního a předvídatelného rámce v této oblasti oprávněný zájem. Z těchto důvodů se navrhuje novelizační body 33, 184 a 450 zrušit. </w:t>
      </w:r>
    </w:p>
    <w:p w:rsidR="00000000" w:rsidDel="00000000" w:rsidP="00000000" w:rsidRDefault="00000000" w:rsidRPr="00000000" w14:paraId="0000001F">
      <w:pPr>
        <w:widowControl w:val="0"/>
        <w:spacing w:after="240" w:befor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Platné znění </w:t>
      </w:r>
      <w:r w:rsidDel="00000000" w:rsidR="00000000" w:rsidRPr="00000000">
        <w:rPr>
          <w:rFonts w:ascii="Times New Roman" w:cs="Times New Roman" w:eastAsia="Times New Roman" w:hAnsi="Times New Roman"/>
          <w:b w:val="1"/>
          <w:bCs w:val="1"/>
          <w:sz w:val="24"/>
          <w:szCs w:val="24"/>
          <w:rtl w:val="0"/>
        </w:rPr>
        <w:t xml:space="preserve">zákona č. 283/2021 Sb., stavební zákon,</w:t>
      </w:r>
      <w:r w:rsidDel="00000000" w:rsidR="00000000" w:rsidRPr="00000000">
        <w:rPr>
          <w:rFonts w:ascii="Times New Roman" w:cs="Times New Roman" w:eastAsia="Times New Roman" w:hAnsi="Times New Roman"/>
          <w:b w:val="1"/>
          <w:bCs w:val="1"/>
          <w:sz w:val="24"/>
          <w:szCs w:val="24"/>
          <w:highlight w:val="white"/>
          <w:rtl w:val="0"/>
        </w:rPr>
        <w:t xml:space="preserve"> ve znění pozdějších předpisů, s vyznačením navrhovaných změn a doplnění </w:t>
      </w:r>
    </w:p>
    <w:p w:rsidR="00000000" w:rsidDel="00000000" w:rsidP="00000000" w:rsidRDefault="00000000" w:rsidRPr="00000000" w14:paraId="00000021">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[změny provedené komplexním pozměńovacím návrhem zákona ČERNĚ, změny provedené pozměňovacím návrhem </w:t>
      </w:r>
      <w:r w:rsidDel="00000000" w:rsidR="00000000" w:rsidRPr="00000000">
        <w:rPr>
          <w:rFonts w:ascii="Times New Roman" w:cs="Times New Roman" w:eastAsia="Times New Roman" w:hAnsi="Times New Roman"/>
          <w:b w:val="1"/>
          <w:bCs w:val="1"/>
          <w:color w:val="ff0000"/>
          <w:sz w:val="24"/>
          <w:szCs w:val="24"/>
          <w:u w:val="single"/>
          <w:rtl w:val="0"/>
        </w:rPr>
        <w:t xml:space="preserve">ČERVENĚ</w:t>
      </w:r>
      <w:r w:rsidDel="00000000" w:rsidR="00000000" w:rsidRPr="00000000">
        <w:rPr>
          <w:rFonts w:ascii="Times New Roman" w:cs="Times New Roman" w:eastAsia="Times New Roman" w:hAnsi="Times New Roman"/>
          <w:b w:val="1"/>
          <w:bCs w:val="1"/>
          <w:sz w:val="24"/>
          <w:szCs w:val="24"/>
          <w:u w:val="single"/>
          <w:rtl w:val="0"/>
        </w:rPr>
        <w:t xml:space="preserve">]</w:t>
      </w:r>
      <w:r w:rsidDel="00000000" w:rsidR="00000000" w:rsidRPr="00000000">
        <w:rPr>
          <w:rtl w:val="0"/>
        </w:rPr>
      </w:r>
    </w:p>
    <w:p w:rsidR="00000000" w:rsidDel="00000000" w:rsidP="00000000" w:rsidRDefault="00000000" w:rsidRPr="00000000" w14:paraId="00000022">
      <w:pPr>
        <w:widowControl w:val="0"/>
        <w:spacing w:after="120"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w:t>
      </w:r>
    </w:p>
    <w:p w:rsidR="00000000" w:rsidDel="00000000" w:rsidP="00000000" w:rsidRDefault="00000000" w:rsidRPr="00000000" w14:paraId="00000023">
      <w:pPr>
        <w:widowControl w:val="0"/>
        <w:spacing w:after="120" w:before="120" w:line="276"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tomto zákoně se dále rozumí</w:t>
      </w:r>
    </w:p>
    <w:p w:rsidR="00000000" w:rsidDel="00000000" w:rsidP="00000000" w:rsidRDefault="00000000" w:rsidRPr="00000000" w14:paraId="00000024">
      <w:pPr>
        <w:widowControl w:val="0"/>
        <w:spacing w:after="12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budovou nadzemní stavba, včetně její podzemní části, prostorově soustředěná a navenek převážně uzavřená obvodovými stěnami a střešní konstrukcí,</w:t>
      </w:r>
    </w:p>
    <w:p w:rsidR="00000000" w:rsidDel="00000000" w:rsidP="00000000" w:rsidRDefault="00000000" w:rsidRPr="00000000" w14:paraId="00000025">
      <w:pPr>
        <w:widowControl w:val="0"/>
        <w:spacing w:after="12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bytovým domem stavba pro bydlení, ve které více než polovina podlahové plochy slouží bydlení,</w:t>
      </w:r>
    </w:p>
    <w:p w:rsidR="00000000" w:rsidDel="00000000" w:rsidP="00000000" w:rsidRDefault="00000000" w:rsidRPr="00000000" w14:paraId="00000026">
      <w:pPr>
        <w:widowControl w:val="0"/>
        <w:spacing w:after="12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rodinným domem stavba pro bydlení, ve které více než polovina podlahové plochy slouží bydlení, a která má nejvýše tři samostatné byty, nejvýše dvě nadzemní a jedno podzemní podlaží a podkroví, nebo třetí nadzemní podlaží ustoupené od vnějšího líce obvodové stěny budovy orientované k uliční čáře alespoň o 2 metry,</w:t>
      </w:r>
    </w:p>
    <w:p w:rsidR="00000000" w:rsidDel="00000000" w:rsidP="00000000" w:rsidRDefault="00000000" w:rsidRPr="00000000" w14:paraId="00000027">
      <w:pPr>
        <w:widowControl w:val="0"/>
        <w:spacing w:after="12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přístupností vytváření podmínek pro samostatné a bezpečné využití pozemků a staveb </w:t>
      </w:r>
      <w:r w:rsidDel="00000000" w:rsidR="00000000" w:rsidRPr="00000000">
        <w:rPr>
          <w:rFonts w:ascii="Times New Roman" w:cs="Times New Roman" w:eastAsia="Times New Roman" w:hAnsi="Times New Roman"/>
          <w:b w:val="1"/>
          <w:bCs w:val="1"/>
          <w:sz w:val="24"/>
          <w:szCs w:val="24"/>
          <w:rtl w:val="0"/>
        </w:rPr>
        <w:t xml:space="preserve">podle jejich potřeby a účelu</w:t>
      </w:r>
      <w:r w:rsidDel="00000000" w:rsidR="00000000" w:rsidRPr="00000000">
        <w:rPr>
          <w:rFonts w:ascii="Times New Roman" w:cs="Times New Roman" w:eastAsia="Times New Roman" w:hAnsi="Times New Roman"/>
          <w:sz w:val="24"/>
          <w:szCs w:val="24"/>
          <w:rtl w:val="0"/>
        </w:rPr>
        <w:t xml:space="preserve"> osobami </w:t>
      </w:r>
      <w:r w:rsidDel="00000000" w:rsidR="00000000" w:rsidRPr="00000000">
        <w:rPr>
          <w:rFonts w:ascii="Times New Roman" w:cs="Times New Roman" w:eastAsia="Times New Roman" w:hAnsi="Times New Roman"/>
          <w:strike w:val="1"/>
          <w:sz w:val="24"/>
          <w:szCs w:val="24"/>
          <w:rtl w:val="0"/>
        </w:rPr>
        <w:t xml:space="preserve">s pohybovým, zrakovým nebo sluchovým postižením, osobami pokročilého věku, těhotnými ženami a osobami doprovázejícími dítě v kočárku nebo dítě do 3 let (dále jen „osoba s omezenou schopností pohybu nebo orientace“) </w:t>
      </w:r>
      <w:r w:rsidDel="00000000" w:rsidR="00000000" w:rsidRPr="00000000">
        <w:rPr>
          <w:rFonts w:ascii="Times New Roman" w:cs="Times New Roman" w:eastAsia="Times New Roman" w:hAnsi="Times New Roman"/>
          <w:b w:val="1"/>
          <w:bCs w:val="1"/>
          <w:sz w:val="24"/>
          <w:szCs w:val="24"/>
          <w:rtl w:val="0"/>
        </w:rPr>
        <w:t xml:space="preserve">se zdravotním postižením podle jiného právního předpisu</w:t>
      </w:r>
      <w:r w:rsidDel="00000000" w:rsidR="00000000" w:rsidRPr="00000000">
        <w:rPr>
          <w:rFonts w:ascii="Times New Roman" w:cs="Times New Roman" w:eastAsia="Times New Roman" w:hAnsi="Times New Roman"/>
          <w:sz w:val="24"/>
          <w:szCs w:val="24"/>
          <w:rtl w:val="0"/>
        </w:rPr>
        <w:t xml:space="preserve"> s cílem </w:t>
      </w:r>
      <w:r w:rsidDel="00000000" w:rsidR="00000000" w:rsidRPr="00000000">
        <w:rPr>
          <w:rFonts w:ascii="Times New Roman" w:cs="Times New Roman" w:eastAsia="Times New Roman" w:hAnsi="Times New Roman"/>
          <w:b w:val="1"/>
          <w:bCs w:val="1"/>
          <w:sz w:val="24"/>
          <w:szCs w:val="24"/>
          <w:rtl w:val="0"/>
        </w:rPr>
        <w:t xml:space="preserve">zajištění jejich bezpečnosti a nezbytného</w:t>
      </w:r>
      <w:r w:rsidDel="00000000" w:rsidR="00000000" w:rsidRPr="00000000">
        <w:rPr>
          <w:rFonts w:ascii="Times New Roman" w:cs="Times New Roman" w:eastAsia="Times New Roman" w:hAnsi="Times New Roman"/>
          <w:sz w:val="24"/>
          <w:szCs w:val="24"/>
          <w:rtl w:val="0"/>
        </w:rPr>
        <w:t xml:space="preserve"> bezbariérového užívání,</w:t>
      </w:r>
    </w:p>
    <w:p w:rsidR="00000000" w:rsidDel="00000000" w:rsidP="00000000" w:rsidRDefault="00000000" w:rsidRPr="00000000" w14:paraId="00000028">
      <w:pPr>
        <w:widowControl w:val="0"/>
        <w:spacing w:after="12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stavbou ubytovacího zařízení stavba nebo její část pro poskytování ubytování a služby s tím spojené; stavbou ubytovacího zařízení není bytový dům, rodinný dům ani stavba pro rodinnou rekreaci,</w:t>
      </w:r>
    </w:p>
    <w:p w:rsidR="00000000" w:rsidDel="00000000" w:rsidP="00000000" w:rsidRDefault="00000000" w:rsidRPr="00000000" w14:paraId="00000029">
      <w:pPr>
        <w:widowControl w:val="0"/>
        <w:spacing w:after="12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stavbou pro obchod stavba s </w:t>
      </w:r>
      <w:r w:rsidDel="00000000" w:rsidR="00000000" w:rsidRPr="00000000">
        <w:rPr>
          <w:rFonts w:ascii="Times New Roman" w:cs="Times New Roman" w:eastAsia="Times New Roman" w:hAnsi="Times New Roman"/>
          <w:b w:val="1"/>
          <w:bCs w:val="1"/>
          <w:sz w:val="24"/>
          <w:szCs w:val="24"/>
          <w:rtl w:val="0"/>
        </w:rPr>
        <w:t xml:space="preserve">převažující</w:t>
      </w:r>
      <w:r w:rsidDel="00000000" w:rsidR="00000000" w:rsidRPr="00000000">
        <w:rPr>
          <w:rFonts w:ascii="Times New Roman" w:cs="Times New Roman" w:eastAsia="Times New Roman" w:hAnsi="Times New Roman"/>
          <w:sz w:val="24"/>
          <w:szCs w:val="24"/>
          <w:rtl w:val="0"/>
        </w:rPr>
        <w:t xml:space="preserve"> prodejní plochou,</w:t>
      </w:r>
    </w:p>
    <w:p w:rsidR="00000000" w:rsidDel="00000000" w:rsidP="00000000" w:rsidRDefault="00000000" w:rsidRPr="00000000" w14:paraId="0000002A">
      <w:pPr>
        <w:widowControl w:val="0"/>
        <w:spacing w:after="12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stavbou pro výrobu a skladování stavba pro průmyslovou, řemeslnou nebo jinou výrobu, popřípadě služby mající charakter výroby, a dále pro skladování výrobků, hmot a materiálů, kromě staveb pro skladování uvedených v písmenu h),</w:t>
      </w:r>
    </w:p>
    <w:p w:rsidR="00000000" w:rsidDel="00000000" w:rsidP="00000000" w:rsidRDefault="00000000" w:rsidRPr="00000000" w14:paraId="0000002B">
      <w:pPr>
        <w:widowControl w:val="0"/>
        <w:spacing w:after="12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stavbou pro zemědělství stavba pro hospodářská zvířata, doprovodná stavba pro hospodářská zvířata, stavba pro rostlinnou výrobu</w:t>
      </w:r>
      <w:r w:rsidDel="00000000" w:rsidR="00000000" w:rsidRPr="00000000">
        <w:rPr>
          <w:rFonts w:ascii="Times New Roman" w:cs="Times New Roman" w:eastAsia="Times New Roman" w:hAnsi="Times New Roman"/>
          <w:b w:val="1"/>
          <w:bCs w:val="1"/>
          <w:sz w:val="24"/>
          <w:szCs w:val="24"/>
          <w:rtl w:val="0"/>
        </w:rPr>
        <w:t xml:space="preserve">, a to i bez nutnosti využití místní půdy,</w:t>
      </w:r>
      <w:r w:rsidDel="00000000" w:rsidR="00000000" w:rsidRPr="00000000">
        <w:rPr>
          <w:rFonts w:ascii="Times New Roman" w:cs="Times New Roman" w:eastAsia="Times New Roman" w:hAnsi="Times New Roman"/>
          <w:sz w:val="24"/>
          <w:szCs w:val="24"/>
          <w:rtl w:val="0"/>
        </w:rPr>
        <w:t xml:space="preserve"> a pro posklizňovou úpravu, stavba pro zemědělské stroje, stavba pro skladování produktů rostlinné výroby, minerálních hnojiv, přípravků a prostředků na ochranu rostlin,</w:t>
      </w:r>
    </w:p>
    <w:p w:rsidR="00000000" w:rsidDel="00000000" w:rsidP="00000000" w:rsidRDefault="00000000" w:rsidRPr="00000000" w14:paraId="0000002C">
      <w:pPr>
        <w:widowControl w:val="0"/>
        <w:spacing w:after="12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bytem soubor místností, popřípadě jedna obytná místnost, který svým stavebně technickým uspořádáním a vybavením splňuje požadavky na trvalé bydlení,</w:t>
      </w:r>
    </w:p>
    <w:p w:rsidR="00000000" w:rsidDel="00000000" w:rsidP="00000000" w:rsidRDefault="00000000" w:rsidRPr="00000000" w14:paraId="0000002D">
      <w:pPr>
        <w:widowControl w:val="0"/>
        <w:spacing w:after="12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bytem zvláštního určení byt upravený k bydlení osob s těžkým pohybovým postižením nebo osob s těžkým zrakovým postižením,</w:t>
      </w:r>
    </w:p>
    <w:p w:rsidR="00000000" w:rsidDel="00000000" w:rsidP="00000000" w:rsidRDefault="00000000" w:rsidRPr="00000000" w14:paraId="0000002E">
      <w:pPr>
        <w:widowControl w:val="0"/>
        <w:spacing w:after="12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místností prostorově uzavřená část stavby, vymezená podlahou, stropem nebo konstrukcí střechy a pevnými stěnami,</w:t>
      </w:r>
    </w:p>
    <w:p w:rsidR="00000000" w:rsidDel="00000000" w:rsidP="00000000" w:rsidRDefault="00000000" w:rsidRPr="00000000" w14:paraId="0000002F">
      <w:pPr>
        <w:widowControl w:val="0"/>
        <w:spacing w:after="12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obytnou místností část bytu, která je určena k bydlení, splňuje požadavky na bydlení z hlediska velikosti, denního osvětlení, větrání, vytápění a hluku a má podlahovou plochu nejméně 8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kuchyň se za obytnou místnost považuje, pokud má podlahovou plochu nejméně 12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tvoří-li byt jediná obytná místnost, musí být její podlahová plocha nejméně 16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widowControl w:val="0"/>
        <w:spacing w:after="12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pobytovou místností místnost, která svou polohou, velikostí a stavebním uspořádáním splňuje požadavky na to, aby se v ní zdržovaly osoby,</w:t>
      </w:r>
    </w:p>
    <w:p w:rsidR="00000000" w:rsidDel="00000000" w:rsidP="00000000" w:rsidRDefault="00000000" w:rsidRPr="00000000" w14:paraId="00000031">
      <w:pPr>
        <w:widowControl w:val="0"/>
        <w:spacing w:after="12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podlahovou plochou součet ploch vymezených vnitřním lícem svislých konstrukcí jednotlivých místností a prostorů stavebně upravených k účelovému využití v budově; v podlažích se šikmými stěnami nebo šikmým stropem je vymezena vnitřním lícem konstrukcí v úrovni 1,2 m nad úrovní podlahy; u poloodkrytých popřípadě odkrytých prostorů se místo chybějících svislých konstrukcí podlahová plocha vymezí pravoúhlým průmětem obvodu vodorovné nosné konstrukce,</w:t>
      </w:r>
    </w:p>
    <w:p w:rsidR="00000000" w:rsidDel="00000000" w:rsidP="00000000" w:rsidRDefault="00000000" w:rsidRPr="00000000" w14:paraId="00000032">
      <w:pPr>
        <w:widowControl w:val="0"/>
        <w:spacing w:after="120" w:before="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zastavěnou plochou stavby plocha ohraničená pravoúhlými průměty vnějšího líce obvodových konstrukcí všech nadzemních i podzemních podlaží do vodorovné roviny; plochy lodžií a arkýřů se započítávají; u objektů poloodkrytých (bez některých obvodových stěn) je zastavěná plocha vymezena obalovými čarami vedenými vnějšími líci svislých konstrukcí do vodorovné roviny; u zastřešených staveb nebo jejich částí bez obvodových svislých konstrukcí je zastavěná plocha vymezena pravoúhlým průmětem střešní konstrukce do vodorovné roviny,</w:t>
      </w:r>
    </w:p>
    <w:p w:rsidR="00000000" w:rsidDel="00000000" w:rsidP="00000000" w:rsidRDefault="00000000" w:rsidRPr="00000000" w14:paraId="00000033">
      <w:pPr>
        <w:widowControl w:val="0"/>
        <w:spacing w:after="120" w:before="120" w:line="276" w:lineRule="auto"/>
        <w:jc w:val="both"/>
        <w:rPr>
          <w:rFonts w:ascii="Times New Roman" w:cs="Times New Roman" w:eastAsia="Times New Roman" w:hAnsi="Times New Roman"/>
          <w:b w:val="1"/>
          <w:bCs w:val="1"/>
          <w:strike w:val="1"/>
          <w:sz w:val="24"/>
          <w:szCs w:val="24"/>
        </w:rPr>
      </w:pPr>
      <w:r w:rsidDel="00000000" w:rsidR="00000000" w:rsidRPr="00000000">
        <w:rPr>
          <w:rFonts w:ascii="Times New Roman" w:cs="Times New Roman" w:eastAsia="Times New Roman" w:hAnsi="Times New Roman"/>
          <w:sz w:val="24"/>
          <w:szCs w:val="24"/>
          <w:rtl w:val="0"/>
        </w:rPr>
        <w:t xml:space="preserve">p) zastavěnou plochou pozemku součet všech zastavěných ploch jednotlivých staveb</w:t>
      </w:r>
      <w:r w:rsidDel="00000000" w:rsidR="00000000" w:rsidRPr="00000000">
        <w:rPr>
          <w:rFonts w:ascii="Times New Roman" w:cs="Times New Roman" w:eastAsia="Times New Roman" w:hAnsi="Times New Roman"/>
          <w:strike w:val="1"/>
          <w:sz w:val="24"/>
          <w:szCs w:val="24"/>
          <w:rtl w:val="0"/>
        </w:rPr>
        <w:t xml:space="preserve">,</w:t>
      </w:r>
      <w:r w:rsidDel="00000000" w:rsidR="00000000" w:rsidRPr="00000000">
        <w:rPr>
          <w:rFonts w:ascii="Times New Roman" w:cs="Times New Roman" w:eastAsia="Times New Roman" w:hAnsi="Times New Roman"/>
          <w:b w:val="1"/>
          <w:bCs w:val="1"/>
          <w:strike w:val="1"/>
          <w:sz w:val="24"/>
          <w:szCs w:val="24"/>
          <w:rtl w:val="0"/>
        </w:rPr>
        <w:t xml:space="preserve">.</w:t>
      </w:r>
    </w:p>
    <w:p w:rsidR="00000000" w:rsidDel="00000000" w:rsidP="00000000" w:rsidRDefault="00000000" w:rsidRPr="00000000" w14:paraId="00000034">
      <w:pPr>
        <w:widowControl w:val="0"/>
        <w:spacing w:after="120" w:before="120" w:line="276" w:lineRule="auto"/>
        <w:jc w:val="both"/>
        <w:rPr>
          <w:rFonts w:ascii="Times New Roman" w:cs="Times New Roman" w:eastAsia="Times New Roman" w:hAnsi="Times New Roman"/>
          <w:b w:val="1"/>
          <w:bCs w:val="1"/>
          <w:strike w:val="1"/>
          <w:sz w:val="24"/>
          <w:szCs w:val="24"/>
        </w:rPr>
      </w:pPr>
      <w:r w:rsidDel="00000000" w:rsidR="00000000" w:rsidRPr="00000000">
        <w:rPr>
          <w:rFonts w:ascii="Times New Roman" w:cs="Times New Roman" w:eastAsia="Times New Roman" w:hAnsi="Times New Roman"/>
          <w:strike w:val="1"/>
          <w:sz w:val="24"/>
          <w:szCs w:val="24"/>
          <w:rtl w:val="0"/>
        </w:rPr>
        <w:t xml:space="preserve">q) domem pro dostupné nájemní bydlení bytový dům, k němuž je uzavřena plánovací smlouva o dostupném nájemním bydlení, nebo který je jako dům pro dostupné nájemní bydlení vymezen v regulačním plánu vydaném obcí, která je stavebníkem.</w:t>
      </w:r>
      <w:r w:rsidDel="00000000" w:rsidR="00000000" w:rsidRPr="00000000">
        <w:rPr>
          <w:rtl w:val="0"/>
        </w:rPr>
      </w:r>
    </w:p>
    <w:p w:rsidR="00000000" w:rsidDel="00000000" w:rsidP="00000000" w:rsidRDefault="00000000" w:rsidRPr="00000000" w14:paraId="00000035">
      <w:pPr>
        <w:widowControl w:val="0"/>
        <w:spacing w:after="120" w:before="120" w:line="276"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q) domem pro dostupné nájemní bydlení bytový dům, k němuž je uzavřena plánovací smlouva o dostupném nájemním bydlení, nebo který je jako dům pro dostupné nájemní bydlení vymezen v regulačním plánu vydaném obcí, která je stavebníkem.</w:t>
      </w:r>
    </w:p>
    <w:p w:rsidR="00000000" w:rsidDel="00000000" w:rsidP="00000000" w:rsidRDefault="00000000" w:rsidRPr="00000000" w14:paraId="00000036">
      <w:pPr>
        <w:widowControl w:val="0"/>
        <w:spacing w:after="120" w:before="120" w:line="276"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37">
      <w:pPr>
        <w:widowControl w:val="0"/>
        <w:spacing w:after="120" w:before="12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86</w:t>
      </w:r>
    </w:p>
    <w:p w:rsidR="00000000" w:rsidDel="00000000" w:rsidP="00000000" w:rsidRDefault="00000000" w:rsidRPr="00000000" w14:paraId="00000038">
      <w:pPr>
        <w:widowControl w:val="0"/>
        <w:spacing w:after="120" w:before="12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Regulační plán se pořizuje a vydává pro řešené území, rozhodne-li tak zastupitelstvo obce.</w:t>
      </w:r>
    </w:p>
    <w:p w:rsidR="00000000" w:rsidDel="00000000" w:rsidP="00000000" w:rsidRDefault="00000000" w:rsidRPr="00000000" w14:paraId="00000039">
      <w:pPr>
        <w:widowControl w:val="0"/>
        <w:spacing w:after="120" w:before="120" w:line="276"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Regulační plán může vymezit veřejně prospěšné stavby nebo veřejně prospěšná opatření, stavby a opatření k zajišťování obrany a bezpečnosti státu a pozemky pro asanaci, pro která lze práva k pozemkům a stavbám vyvlastnit.</w:t>
      </w:r>
    </w:p>
    <w:p w:rsidR="00000000" w:rsidDel="00000000" w:rsidP="00000000" w:rsidRDefault="00000000" w:rsidRPr="00000000" w14:paraId="0000003A">
      <w:pPr>
        <w:widowControl w:val="0"/>
        <w:spacing w:after="120" w:before="120" w:line="276"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 regulačním plánu lze vymezit záměr, pro který je uzavření plánovací smlouvy podmínkou pro rozhodování v území. V takovém případě obsahuje základní </w:t>
      </w:r>
      <w:r w:rsidDel="00000000" w:rsidR="00000000" w:rsidRPr="00000000">
        <w:rPr>
          <w:rFonts w:ascii="Times New Roman" w:cs="Times New Roman" w:eastAsia="Times New Roman" w:hAnsi="Times New Roman"/>
          <w:b w:val="1"/>
          <w:bCs w:val="1"/>
          <w:sz w:val="24"/>
          <w:szCs w:val="24"/>
          <w:rtl w:val="0"/>
        </w:rPr>
        <w:t xml:space="preserve">obsah plánovací smlouvy, </w:t>
      </w:r>
      <w:r w:rsidDel="00000000" w:rsidR="00000000" w:rsidRPr="00000000">
        <w:rPr>
          <w:rFonts w:ascii="Times New Roman" w:cs="Times New Roman" w:eastAsia="Times New Roman" w:hAnsi="Times New Roman"/>
          <w:sz w:val="24"/>
          <w:szCs w:val="24"/>
          <w:rtl w:val="0"/>
        </w:rPr>
        <w:t xml:space="preserve">podmínky pro uzavření plánovací smlouvy a lhůtu pro uzavření plánovací smlouvy, která nesmí být delší než 4 roky. Marným uplynutím stanovené lhůty pozbývá uvedená podmínka platnosti.</w:t>
      </w:r>
    </w:p>
    <w:p w:rsidR="00000000" w:rsidDel="00000000" w:rsidP="00000000" w:rsidRDefault="00000000" w:rsidRPr="00000000" w14:paraId="0000003B">
      <w:pPr>
        <w:widowControl w:val="0"/>
        <w:spacing w:after="120" w:before="120" w:line="276"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Regulační plán může vymezit záměr, pro který je provedení architektonické nebo urbanistické soutěže podmínkou pro rozhodování v území. Architektonickou nebo urbanistickou soutěž zajistí na požádání stavebníka na své náklady obec, jejíž zastupitelstvo regulační plán vydalo, není-li dohodnuto jinak. Architektonickou nebo urbanistickou soutěž může namísto obce zajistit na své náklady ten, kdo hodlá tento záměr realizovat.</w:t>
      </w:r>
    </w:p>
    <w:p w:rsidR="00000000" w:rsidDel="00000000" w:rsidP="00000000" w:rsidRDefault="00000000" w:rsidRPr="00000000" w14:paraId="0000003C">
      <w:pPr>
        <w:widowControl w:val="0"/>
        <w:spacing w:after="120" w:before="120" w:line="276" w:lineRule="auto"/>
        <w:ind w:firstLine="20"/>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(5) Regulační plán může vymezit stavbu domu pro dostupné nájemní bydlení, včetně stanovení podílu bytů určených pro dostupné nájemní bydlení.</w:t>
      </w:r>
    </w:p>
    <w:p w:rsidR="00000000" w:rsidDel="00000000" w:rsidP="00000000" w:rsidRDefault="00000000" w:rsidRPr="00000000" w14:paraId="0000003D">
      <w:pPr>
        <w:widowControl w:val="0"/>
        <w:spacing w:after="120" w:before="120" w:line="276" w:lineRule="auto"/>
        <w:ind w:firstLine="2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(5) Regulační plán může vymezit stavbu domu pro dostupné nájemní bydlení, včetně stanovení podílu bytů určených pro dostupné nájemní bydlení.</w:t>
      </w:r>
    </w:p>
    <w:p w:rsidR="00000000" w:rsidDel="00000000" w:rsidP="00000000" w:rsidRDefault="00000000" w:rsidRPr="00000000" w14:paraId="0000003E">
      <w:pPr>
        <w:widowControl w:val="0"/>
        <w:spacing w:after="120" w:before="120" w:line="276"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trike w:val="1"/>
          <w:sz w:val="24"/>
          <w:szCs w:val="24"/>
          <w:rtl w:val="0"/>
        </w:rPr>
        <w:t xml:space="preserve">6)</w:t>
      </w:r>
      <w:r w:rsidDel="00000000" w:rsidR="00000000" w:rsidRPr="00000000">
        <w:rPr>
          <w:rFonts w:ascii="Times New Roman" w:cs="Times New Roman" w:eastAsia="Times New Roman" w:hAnsi="Times New Roman"/>
          <w:b w:val="1"/>
          <w:bCs w:val="1"/>
          <w:strike w:val="1"/>
          <w:color w:val="ff0000"/>
          <w:sz w:val="24"/>
          <w:szCs w:val="24"/>
          <w:rtl w:val="0"/>
        </w:rPr>
        <w:t xml:space="preserve">(5)</w:t>
      </w:r>
      <w:r w:rsidDel="00000000" w:rsidR="00000000" w:rsidRPr="00000000">
        <w:rPr>
          <w:rFonts w:ascii="Times New Roman" w:cs="Times New Roman" w:eastAsia="Times New Roman" w:hAnsi="Times New Roman"/>
          <w:b w:val="1"/>
          <w:bCs w:val="1"/>
          <w:color w:val="ff0000"/>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Regulační plán může stanovit pořadí provádění změn v území nebo architektonicky nebo urbanisticky významné stavby</w:t>
      </w:r>
      <w:r w:rsidDel="00000000" w:rsidR="00000000" w:rsidRPr="00000000">
        <w:rPr>
          <w:rFonts w:ascii="Times New Roman" w:cs="Times New Roman" w:eastAsia="Times New Roman" w:hAnsi="Times New Roman"/>
          <w:sz w:val="24"/>
          <w:szCs w:val="24"/>
          <w:vertAlign w:val="superscript"/>
          <w:rtl w:val="0"/>
        </w:rPr>
        <w:t xml:space="preserve">19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widowControl w:val="0"/>
        <w:spacing w:after="120" w:before="120" w:line="276" w:lineRule="auto"/>
        <w:ind w:firstLine="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after="120" w:before="120" w:line="276"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Díl 2</w:t>
      </w:r>
    </w:p>
    <w:p w:rsidR="00000000" w:rsidDel="00000000" w:rsidP="00000000" w:rsidRDefault="00000000" w:rsidRPr="00000000" w14:paraId="00000041">
      <w:pPr>
        <w:widowControl w:val="0"/>
        <w:spacing w:after="120" w:before="120" w:line="276"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Zvláštní ustanovení o řízení o povolení záměru domu pro dostupné nájemní bydlení</w:t>
      </w:r>
    </w:p>
    <w:p w:rsidR="00000000" w:rsidDel="00000000" w:rsidP="00000000" w:rsidRDefault="00000000" w:rsidRPr="00000000" w14:paraId="00000042">
      <w:pPr>
        <w:widowControl w:val="0"/>
        <w:spacing w:after="120" w:before="120" w:line="276"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 201</w:t>
      </w:r>
    </w:p>
    <w:p w:rsidR="00000000" w:rsidDel="00000000" w:rsidP="00000000" w:rsidRDefault="00000000" w:rsidRPr="00000000" w14:paraId="00000043">
      <w:pPr>
        <w:widowControl w:val="0"/>
        <w:spacing w:after="120" w:before="120" w:line="276"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Žádost o povolení záměru domu pro dostupné nájemní bydlení</w:t>
      </w:r>
    </w:p>
    <w:p w:rsidR="00000000" w:rsidDel="00000000" w:rsidP="00000000" w:rsidRDefault="00000000" w:rsidRPr="00000000" w14:paraId="00000044">
      <w:pPr>
        <w:widowControl w:val="0"/>
        <w:spacing w:after="120" w:before="120" w:line="276" w:lineRule="auto"/>
        <w:ind w:firstLine="20"/>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(1) Není-li stavebníkem obec, je součástí žádosti o povolení záměru domu pro dostupné nájemní bydlení také plánovací smlouva o dostupném nájemním bydlení, jejíž stranou je obec, na jejímž území má být záměr uskutečněn, a která obsahuje</w:t>
      </w:r>
    </w:p>
    <w:p w:rsidR="00000000" w:rsidDel="00000000" w:rsidP="00000000" w:rsidRDefault="00000000" w:rsidRPr="00000000" w14:paraId="00000045">
      <w:pPr>
        <w:widowControl w:val="0"/>
        <w:spacing w:after="120" w:before="120" w:line="276" w:lineRule="auto"/>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a) závazek stavebníka poskytovat od právní moci kolaudačního rozhodnutí, kterým se povoluje užívání domu pro dostupné nájemní bydlení, nejméně 20 let alespoň 80 % podlahové plochy sloužící bydlení pro dostupné nájemní bydlení podle zákona o Státním fondu podpory investic,</w:t>
      </w:r>
    </w:p>
    <w:p w:rsidR="00000000" w:rsidDel="00000000" w:rsidP="00000000" w:rsidRDefault="00000000" w:rsidRPr="00000000" w14:paraId="00000046">
      <w:pPr>
        <w:widowControl w:val="0"/>
        <w:spacing w:after="120" w:before="120" w:line="276" w:lineRule="auto"/>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b) závazek stavebníka, že po dobu trvání plánovací smlouvy o dostupném nájemním bydlení bez souhlasu obce bytový dům nezatíží ani nezcizí,</w:t>
      </w:r>
    </w:p>
    <w:p w:rsidR="00000000" w:rsidDel="00000000" w:rsidP="00000000" w:rsidRDefault="00000000" w:rsidRPr="00000000" w14:paraId="00000047">
      <w:pPr>
        <w:widowControl w:val="0"/>
        <w:spacing w:after="120" w:before="120" w:line="276" w:lineRule="auto"/>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c) sjednání výše dostupného nájemného a způsob jeho navyšování v souladu se zákonem o Státním fondu podpory investic,</w:t>
      </w:r>
    </w:p>
    <w:p w:rsidR="00000000" w:rsidDel="00000000" w:rsidP="00000000" w:rsidRDefault="00000000" w:rsidRPr="00000000" w14:paraId="00000048">
      <w:pPr>
        <w:widowControl w:val="0"/>
        <w:spacing w:after="120" w:before="120" w:line="276" w:lineRule="auto"/>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d) ujednání o době trvání plánovací smlouvy, která nesmí skončit před uplynutím 20 let od právní moci kolaudačního rozhodnutí, kterým se povoluje užívání domu pro dostupné nájemní bydlení,</w:t>
      </w:r>
    </w:p>
    <w:p w:rsidR="00000000" w:rsidDel="00000000" w:rsidP="00000000" w:rsidRDefault="00000000" w:rsidRPr="00000000" w14:paraId="00000049">
      <w:pPr>
        <w:widowControl w:val="0"/>
        <w:spacing w:after="120" w:before="120" w:line="276" w:lineRule="auto"/>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e) závazek stavebníka umožnit kontrolu povinností vyplývajících z plánovací smlouvy o dostupném nájemním bydlení,</w:t>
      </w:r>
    </w:p>
    <w:p w:rsidR="00000000" w:rsidDel="00000000" w:rsidP="00000000" w:rsidRDefault="00000000" w:rsidRPr="00000000" w14:paraId="0000004A">
      <w:pPr>
        <w:widowControl w:val="0"/>
        <w:spacing w:after="120" w:before="120" w:line="276" w:lineRule="auto"/>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f) závazek stavebníka uhradit smluvní pokutu ve výši dvanáctinásobku maximálního měsíčního dostupného nájemného za 1 m</w:t>
      </w:r>
      <w:r w:rsidDel="00000000" w:rsidR="00000000" w:rsidRPr="00000000">
        <w:rPr>
          <w:rFonts w:ascii="Times New Roman" w:cs="Times New Roman" w:eastAsia="Times New Roman" w:hAnsi="Times New Roman"/>
          <w:strike w:val="1"/>
          <w:sz w:val="24"/>
          <w:szCs w:val="24"/>
          <w:vertAlign w:val="superscript"/>
          <w:rtl w:val="0"/>
        </w:rPr>
        <w:t xml:space="preserve">2</w:t>
      </w:r>
      <w:r w:rsidDel="00000000" w:rsidR="00000000" w:rsidRPr="00000000">
        <w:rPr>
          <w:rFonts w:ascii="Times New Roman" w:cs="Times New Roman" w:eastAsia="Times New Roman" w:hAnsi="Times New Roman"/>
          <w:strike w:val="1"/>
          <w:sz w:val="24"/>
          <w:szCs w:val="24"/>
          <w:rtl w:val="0"/>
        </w:rPr>
        <w:t xml:space="preserve"> vynásobeného počtem m</w:t>
      </w:r>
      <w:r w:rsidDel="00000000" w:rsidR="00000000" w:rsidRPr="00000000">
        <w:rPr>
          <w:rFonts w:ascii="Times New Roman" w:cs="Times New Roman" w:eastAsia="Times New Roman" w:hAnsi="Times New Roman"/>
          <w:strike w:val="1"/>
          <w:sz w:val="24"/>
          <w:szCs w:val="24"/>
          <w:vertAlign w:val="superscript"/>
          <w:rtl w:val="0"/>
        </w:rPr>
        <w:t xml:space="preserve">2</w:t>
      </w:r>
      <w:r w:rsidDel="00000000" w:rsidR="00000000" w:rsidRPr="00000000">
        <w:rPr>
          <w:rFonts w:ascii="Times New Roman" w:cs="Times New Roman" w:eastAsia="Times New Roman" w:hAnsi="Times New Roman"/>
          <w:strike w:val="1"/>
          <w:sz w:val="24"/>
          <w:szCs w:val="24"/>
          <w:rtl w:val="0"/>
        </w:rPr>
        <w:t xml:space="preserve"> podlahové plochy domu pro dostupné nájemní bydlení, za porušení jakéhokoli závazku vyplývajícího z plánovací smlouvy ve vztahu k poskytování dostupného nájemního bydlení, a to za každé jednotlivé porušení, nesjednají-li si smluvní strany smluvní pokutu vyšší.</w:t>
      </w:r>
    </w:p>
    <w:p w:rsidR="00000000" w:rsidDel="00000000" w:rsidP="00000000" w:rsidRDefault="00000000" w:rsidRPr="00000000" w14:paraId="0000004B">
      <w:pPr>
        <w:widowControl w:val="0"/>
        <w:spacing w:after="120" w:before="120" w:line="276" w:lineRule="auto"/>
        <w:ind w:firstLine="20"/>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(2) Stavební úřad při povolení záměru domu pro dostupné nájemní bydlení ověří, zda plánovací smlouva obsahuje ujednání podle odstavce 1 písm. a), b) a d).</w:t>
      </w:r>
    </w:p>
    <w:p w:rsidR="00000000" w:rsidDel="00000000" w:rsidP="00000000" w:rsidRDefault="00000000" w:rsidRPr="00000000" w14:paraId="0000004C">
      <w:pPr>
        <w:widowControl w:val="0"/>
        <w:spacing w:after="120" w:before="120" w:line="276" w:lineRule="auto"/>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 202</w:t>
      </w:r>
    </w:p>
    <w:p w:rsidR="00000000" w:rsidDel="00000000" w:rsidP="00000000" w:rsidRDefault="00000000" w:rsidRPr="00000000" w14:paraId="0000004D">
      <w:pPr>
        <w:widowControl w:val="0"/>
        <w:spacing w:after="120" w:before="120" w:line="276" w:lineRule="auto"/>
        <w:jc w:val="center"/>
        <w:rPr>
          <w:rFonts w:ascii="Times New Roman" w:cs="Times New Roman" w:eastAsia="Times New Roman" w:hAnsi="Times New Roman"/>
          <w:b w:val="1"/>
          <w:bCs w:val="1"/>
          <w:strike w:val="1"/>
          <w:sz w:val="24"/>
          <w:szCs w:val="24"/>
        </w:rPr>
      </w:pPr>
      <w:r w:rsidDel="00000000" w:rsidR="00000000" w:rsidRPr="00000000">
        <w:rPr>
          <w:rFonts w:ascii="Times New Roman" w:cs="Times New Roman" w:eastAsia="Times New Roman" w:hAnsi="Times New Roman"/>
          <w:b w:val="1"/>
          <w:bCs w:val="1"/>
          <w:strike w:val="1"/>
          <w:sz w:val="24"/>
          <w:szCs w:val="24"/>
          <w:rtl w:val="0"/>
        </w:rPr>
        <w:t xml:space="preserve">Posuzování záměru domu pro dostupné nájemní bydlení</w:t>
      </w:r>
    </w:p>
    <w:p w:rsidR="00000000" w:rsidDel="00000000" w:rsidP="00000000" w:rsidRDefault="00000000" w:rsidRPr="00000000" w14:paraId="0000004E">
      <w:pPr>
        <w:widowControl w:val="0"/>
        <w:spacing w:after="120" w:before="120" w:line="276" w:lineRule="auto"/>
        <w:ind w:firstLine="20"/>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Pro záměr domu pro dostupné nájemní bydlení není potřeba souhlas vlastníka podle § 187.</w:t>
      </w:r>
    </w:p>
    <w:p w:rsidR="00000000" w:rsidDel="00000000" w:rsidP="00000000" w:rsidRDefault="00000000" w:rsidRPr="00000000" w14:paraId="0000004F">
      <w:pPr>
        <w:widowControl w:val="0"/>
        <w:spacing w:after="120" w:before="120" w:line="276" w:lineRule="auto"/>
        <w:ind w:firstLine="20"/>
        <w:jc w:val="both"/>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50">
      <w:pPr>
        <w:widowControl w:val="0"/>
        <w:spacing w:after="120" w:before="120" w:line="276"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Díl 2</w:t>
      </w:r>
    </w:p>
    <w:p w:rsidR="00000000" w:rsidDel="00000000" w:rsidP="00000000" w:rsidRDefault="00000000" w:rsidRPr="00000000" w14:paraId="00000051">
      <w:pPr>
        <w:widowControl w:val="0"/>
        <w:spacing w:after="120" w:before="120" w:line="276"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Zvláštní ustanovení o řízení o povolení záměru domu pro dostupné nájemní bydlení</w:t>
      </w:r>
    </w:p>
    <w:p w:rsidR="00000000" w:rsidDel="00000000" w:rsidP="00000000" w:rsidRDefault="00000000" w:rsidRPr="00000000" w14:paraId="00000052">
      <w:pPr>
        <w:widowControl w:val="0"/>
        <w:spacing w:after="120" w:before="120" w:line="276"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201</w:t>
      </w:r>
    </w:p>
    <w:p w:rsidR="00000000" w:rsidDel="00000000" w:rsidP="00000000" w:rsidRDefault="00000000" w:rsidRPr="00000000" w14:paraId="00000053">
      <w:pPr>
        <w:widowControl w:val="0"/>
        <w:spacing w:after="120" w:before="120" w:line="276"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Žádost o povolení záměru domu pro dostupné nájemní bydlení</w:t>
      </w:r>
    </w:p>
    <w:p w:rsidR="00000000" w:rsidDel="00000000" w:rsidP="00000000" w:rsidRDefault="00000000" w:rsidRPr="00000000" w14:paraId="00000054">
      <w:pPr>
        <w:widowControl w:val="0"/>
        <w:spacing w:after="120" w:before="120" w:line="276" w:lineRule="auto"/>
        <w:ind w:firstLine="2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(1) Není-li stavebníkem obec, je součástí žádosti o povolení záměru domu pro dostupné nájemní bydlení také plánovací smlouva o dostupném nájemním bydlení, jejíž stranou je obec, na jejímž území má být záměr uskutečněn, a která obsahuje</w:t>
      </w:r>
    </w:p>
    <w:p w:rsidR="00000000" w:rsidDel="00000000" w:rsidP="00000000" w:rsidRDefault="00000000" w:rsidRPr="00000000" w14:paraId="00000055">
      <w:pPr>
        <w:widowControl w:val="0"/>
        <w:spacing w:after="120" w:before="120" w:line="276"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a) závazek stavebníka poskytovat od právní moci kolaudačního rozhodnutí, kterým se povoluje užívání domu pro dostupné nájemní bydlení, nejméně 20 let alespoň 80 % podlahové plochy sloužící bydlení pro dostupné nájemní bydlení podle zákona o Státním fondu podpory investic,</w:t>
      </w:r>
    </w:p>
    <w:p w:rsidR="00000000" w:rsidDel="00000000" w:rsidP="00000000" w:rsidRDefault="00000000" w:rsidRPr="00000000" w14:paraId="00000056">
      <w:pPr>
        <w:widowControl w:val="0"/>
        <w:spacing w:after="120" w:before="120" w:line="276"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 závazek stavebníka, že po dobu trvání plánovací smlouvy o dostupném nájemním bydlení bez souhlasu obce bytový dům nezatíží ani nezcizí,</w:t>
      </w:r>
    </w:p>
    <w:p w:rsidR="00000000" w:rsidDel="00000000" w:rsidP="00000000" w:rsidRDefault="00000000" w:rsidRPr="00000000" w14:paraId="00000057">
      <w:pPr>
        <w:widowControl w:val="0"/>
        <w:spacing w:after="120" w:before="120" w:line="276"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 sjednání výše dostupného nájemného a způsob jeho navyšování v souladu se zákonem o Státním fondu podpory investic,</w:t>
      </w:r>
    </w:p>
    <w:p w:rsidR="00000000" w:rsidDel="00000000" w:rsidP="00000000" w:rsidRDefault="00000000" w:rsidRPr="00000000" w14:paraId="00000058">
      <w:pPr>
        <w:widowControl w:val="0"/>
        <w:spacing w:after="120" w:before="120" w:line="276"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 ujednání o době trvání plánovací smlouvy, která nesmí skončit před uplynutím 20 let od právní moci kolaudačního rozhodnutí, kterým se povoluje užívání domu pro dostupné nájemní bydlení,</w:t>
      </w:r>
    </w:p>
    <w:p w:rsidR="00000000" w:rsidDel="00000000" w:rsidP="00000000" w:rsidRDefault="00000000" w:rsidRPr="00000000" w14:paraId="00000059">
      <w:pPr>
        <w:widowControl w:val="0"/>
        <w:spacing w:after="120" w:before="120" w:line="276"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e) závazek stavebníka umožnit kontrolu povinností vyplývajících z plánovací smlouvy o dostupném nájemním bydlení,</w:t>
      </w:r>
    </w:p>
    <w:p w:rsidR="00000000" w:rsidDel="00000000" w:rsidP="00000000" w:rsidRDefault="00000000" w:rsidRPr="00000000" w14:paraId="0000005A">
      <w:pPr>
        <w:widowControl w:val="0"/>
        <w:spacing w:after="120" w:before="120" w:line="276"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f) závazek stavebníka uhradit smluvní pokutu ve výši dvanáctinásobku maximálního měsíčního dostupného nájemného za 1 m</w:t>
      </w:r>
      <w:r w:rsidDel="00000000" w:rsidR="00000000" w:rsidRPr="00000000">
        <w:rPr>
          <w:rFonts w:ascii="Times New Roman" w:cs="Times New Roman" w:eastAsia="Times New Roman" w:hAnsi="Times New Roman"/>
          <w:b w:val="1"/>
          <w:bCs w:val="1"/>
          <w:color w:val="ff0000"/>
          <w:sz w:val="24"/>
          <w:szCs w:val="24"/>
          <w:vertAlign w:val="superscript"/>
          <w:rtl w:val="0"/>
        </w:rPr>
        <w:t xml:space="preserve">2</w:t>
      </w:r>
      <w:r w:rsidDel="00000000" w:rsidR="00000000" w:rsidRPr="00000000">
        <w:rPr>
          <w:rFonts w:ascii="Times New Roman" w:cs="Times New Roman" w:eastAsia="Times New Roman" w:hAnsi="Times New Roman"/>
          <w:b w:val="1"/>
          <w:bCs w:val="1"/>
          <w:color w:val="ff0000"/>
          <w:sz w:val="24"/>
          <w:szCs w:val="24"/>
          <w:rtl w:val="0"/>
        </w:rPr>
        <w:t xml:space="preserve"> vynásobeného počtem m</w:t>
      </w:r>
      <w:r w:rsidDel="00000000" w:rsidR="00000000" w:rsidRPr="00000000">
        <w:rPr>
          <w:rFonts w:ascii="Times New Roman" w:cs="Times New Roman" w:eastAsia="Times New Roman" w:hAnsi="Times New Roman"/>
          <w:b w:val="1"/>
          <w:bCs w:val="1"/>
          <w:color w:val="ff0000"/>
          <w:sz w:val="24"/>
          <w:szCs w:val="24"/>
          <w:vertAlign w:val="superscript"/>
          <w:rtl w:val="0"/>
        </w:rPr>
        <w:t xml:space="preserve">2</w:t>
      </w:r>
      <w:r w:rsidDel="00000000" w:rsidR="00000000" w:rsidRPr="00000000">
        <w:rPr>
          <w:rFonts w:ascii="Times New Roman" w:cs="Times New Roman" w:eastAsia="Times New Roman" w:hAnsi="Times New Roman"/>
          <w:b w:val="1"/>
          <w:bCs w:val="1"/>
          <w:color w:val="ff0000"/>
          <w:sz w:val="24"/>
          <w:szCs w:val="24"/>
          <w:rtl w:val="0"/>
        </w:rPr>
        <w:t xml:space="preserve"> podlahové plochy domu pro dostupné nájemní bydlení, za porušení jakéhokoli závazku vyplývajícího z plánovací smlouvy ve vztahu k poskytování dostupného nájemního bydlení, a to za každé jednotlivé porušení, nesjednají-li si smluvní strany smluvní pokutu vyšší.</w:t>
      </w:r>
    </w:p>
    <w:p w:rsidR="00000000" w:rsidDel="00000000" w:rsidP="00000000" w:rsidRDefault="00000000" w:rsidRPr="00000000" w14:paraId="0000005B">
      <w:pPr>
        <w:widowControl w:val="0"/>
        <w:spacing w:after="120" w:before="120" w:line="276" w:lineRule="auto"/>
        <w:ind w:firstLine="20"/>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(2) Stavební úřad při povolení záměru domu pro dostupné nájemní bydlení ověří, zda plánovací smlouva obsahuje ujednání podle odstavce 1 písm. a), b) a d).</w:t>
      </w:r>
    </w:p>
    <w:p w:rsidR="00000000" w:rsidDel="00000000" w:rsidP="00000000" w:rsidRDefault="00000000" w:rsidRPr="00000000" w14:paraId="0000005C">
      <w:pPr>
        <w:widowControl w:val="0"/>
        <w:spacing w:after="120" w:before="120" w:line="276"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D">
      <w:pPr>
        <w:widowControl w:val="0"/>
        <w:spacing w:after="120" w:before="120" w:line="276"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202</w:t>
      </w:r>
    </w:p>
    <w:p w:rsidR="00000000" w:rsidDel="00000000" w:rsidP="00000000" w:rsidRDefault="00000000" w:rsidRPr="00000000" w14:paraId="0000005E">
      <w:pPr>
        <w:widowControl w:val="0"/>
        <w:spacing w:after="120" w:before="120" w:line="276"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Posuzování záměru domu pro dostupné nájemní bydlení</w:t>
      </w:r>
    </w:p>
    <w:p w:rsidR="00000000" w:rsidDel="00000000" w:rsidP="00000000" w:rsidRDefault="00000000" w:rsidRPr="00000000" w14:paraId="0000005F">
      <w:pPr>
        <w:widowControl w:val="0"/>
        <w:spacing w:after="120" w:before="120" w:line="276"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Pro záměr domu pro dostupné nájemní bydlení není potřeba souhlas vlastníka podle § 187.</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