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before="200" w:line="276" w:lineRule="auto"/>
        <w:jc w:val="center"/>
        <w:rPr>
          <w:rFonts w:ascii="Times New Roman" w:cs="Times New Roman" w:eastAsia="Times New Roman" w:hAnsi="Times New Roman"/>
          <w:b w:val="1"/>
          <w:bCs w:val="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after="200" w:before="20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 xml:space="preserve">Poslanecká sněmovna</w:t>
        <w:tab/>
      </w:r>
    </w:p>
    <w:p w:rsidR="00000000" w:rsidDel="00000000" w:rsidP="00000000" w:rsidRDefault="00000000" w:rsidRPr="00000000" w14:paraId="00000003">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2026</w:t>
      </w:r>
    </w:p>
    <w:p w:rsidR="00000000" w:rsidDel="00000000" w:rsidP="00000000" w:rsidRDefault="00000000" w:rsidRPr="00000000" w14:paraId="00000004">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 volební období</w:t>
      </w:r>
    </w:p>
    <w:p w:rsidR="00000000" w:rsidDel="00000000" w:rsidP="00000000" w:rsidRDefault="00000000" w:rsidRPr="00000000" w14:paraId="00000005">
      <w:pPr>
        <w:widowControl w:val="0"/>
        <w:spacing w:after="200" w:before="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after="200" w:before="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poslankyň a poslanců</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Veroniky Kovářové, Gabriely Svárovské, Petra Hladíka, Ireny Ferčíkové Konečné, Bohuslava Niemiece, Marie Krškové, Lenky Martínkové Španihelové a Ivana Bartoše</w:t>
      </w:r>
      <w:r w:rsidDel="00000000" w:rsidR="00000000" w:rsidRPr="00000000">
        <w:rPr>
          <w:rtl w:val="0"/>
        </w:rPr>
      </w:r>
    </w:p>
    <w:p w:rsidR="00000000" w:rsidDel="00000000" w:rsidP="00000000" w:rsidRDefault="00000000" w:rsidRPr="00000000" w14:paraId="0000000B">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 komplexnímu pozměňovacímu návrhu uvedenému v usnesení hospodářského výboru č. 55 ze dne 30. dubna 2026 k</w:t>
      </w:r>
    </w:p>
    <w:p w:rsidR="00000000" w:rsidDel="00000000" w:rsidP="00000000" w:rsidRDefault="00000000" w:rsidRPr="00000000" w14:paraId="0000000E">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spacing w:after="200" w:before="200" w:line="27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10">
      <w:pPr>
        <w:spacing w:after="200" w:before="200"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ST 67/11</w:t>
      </w:r>
    </w:p>
    <w:p w:rsidR="00000000" w:rsidDel="00000000" w:rsidP="00000000" w:rsidRDefault="00000000" w:rsidRPr="00000000" w14:paraId="00000011">
      <w:pPr>
        <w:widowControl w:val="0"/>
        <w:spacing w:after="200" w:before="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200" w:before="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Datum: </w:t>
      </w:r>
      <w:r w:rsidDel="00000000" w:rsidR="00000000" w:rsidRPr="00000000">
        <w:rPr>
          <w:rFonts w:ascii="Times New Roman" w:cs="Times New Roman" w:eastAsia="Times New Roman" w:hAnsi="Times New Roman"/>
          <w:sz w:val="24"/>
          <w:szCs w:val="24"/>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p>
    <w:p w:rsidR="00000000" w:rsidDel="00000000" w:rsidP="00000000" w:rsidRDefault="00000000" w:rsidRPr="00000000" w14:paraId="00000015">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 části první v čl. II bod 41 zní takto:</w:t>
      </w:r>
    </w:p>
    <w:p w:rsidR="00000000" w:rsidDel="00000000" w:rsidP="00000000" w:rsidRDefault="00000000" w:rsidRPr="00000000" w14:paraId="00000016">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Ustanovení § 194 zákona č. 283/2021 Sb., ve znění účinném ode dne nabytí účinnosti tohoto zákona, se nepoužije na záměry v zastavitelných plochách, zastavitelném území, koridorech pro stavební záměr nebo plochách těžby vymezených v územně plánovací dokumentaci vydané přede dnem nabytí účinnosti tohoto zákona, a to až do nabytí účinnosti nové územně plánovací dokumentace nebo její změny, kterou byly tyto plochy, území nebo koridory nově vymezeny nebo byly nově stanoveny podmínky jejich využití.“.</w:t>
      </w:r>
    </w:p>
    <w:p w:rsidR="00000000" w:rsidDel="00000000" w:rsidP="00000000" w:rsidRDefault="00000000" w:rsidRPr="00000000" w14:paraId="00000017">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 části osmé v čl. XIV bod 15 zní takto:</w:t>
      </w:r>
    </w:p>
    <w:p w:rsidR="00000000" w:rsidDel="00000000" w:rsidP="00000000" w:rsidRDefault="00000000" w:rsidRPr="00000000" w14:paraId="00000018">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Pro zastavitelné plochy a zastavitelné území vymezené v územním plánu nebo regulačním plánu vydaném přede dnem nabytí účinnosti tohoto zákona se § 12 odst. 4 a § 44 odst. 3 zákona č. 114/1992 Sb., ve znění účinném přede dnem nabytí účinnosti tohoto zákona, použijí až do nabytí účinnosti nového územního plánu nebo regulačního plánu, popřípadě jejich změny, kterou byly tyto plochy nebo území nově vymezeny nebo byly nově stanoveny podmínky jejich využití.“.</w:t>
      </w:r>
    </w:p>
    <w:p w:rsidR="00000000" w:rsidDel="00000000" w:rsidP="00000000" w:rsidRDefault="00000000" w:rsidRPr="00000000" w14:paraId="00000019">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 části deváté v čl. XVI se za bod 8 doplňuje bod 9, který zní:</w:t>
      </w:r>
    </w:p>
    <w:p w:rsidR="00000000" w:rsidDel="00000000" w:rsidP="00000000" w:rsidRDefault="00000000" w:rsidRPr="00000000" w14:paraId="0000001A">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Ustanovení § 9 odst. 2 písm. a) zákona č. 334/1992 Sb., ve znění účinném ode dne nabytí účinnosti tohoto zákona, se nepoužije ve vztahu k zemědělské půdě v zastavitelných plochách nebo zastavitelném území vymezených v územním plánu nebo regulačním plánu vydaném přede dnem nabytí účinnosti tohoto zákona, a to až do nabytí účinnosti nového územního plánu nebo regulačního plánu, popřípadě jejich změny, kterou byly tyto plochy nebo toto území nově vymezeny nebo byly nově stanoveny podmínky jejich využití. Ustanovení bodu 8 se nepoužije, jde-li o záměr, který by souhlas s odnětím zemědělské půdy ze zemědělského půdního fondu nevyžadoval pouze z důvodu podle § 9 odst. 2 písm. a) zákona č. 334/1992 Sb., ve znění účinném ode dne nabytí účinnosti tohoto zákona, ve vztahu k zemědělské půdě podle věty první.“.</w:t>
      </w:r>
      <w:r w:rsidDel="00000000" w:rsidR="00000000" w:rsidRPr="00000000">
        <w:br w:type="page"/>
      </w:r>
      <w:r w:rsidDel="00000000" w:rsidR="00000000" w:rsidRPr="00000000">
        <w:rPr>
          <w:rtl w:val="0"/>
        </w:rPr>
      </w:r>
    </w:p>
    <w:p w:rsidR="00000000" w:rsidDel="00000000" w:rsidP="00000000" w:rsidRDefault="00000000" w:rsidRPr="00000000" w14:paraId="0000001B">
      <w:pPr>
        <w:widowControl w:val="0"/>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d ů v o d n ě n í</w:t>
      </w:r>
    </w:p>
    <w:p w:rsidR="00000000" w:rsidDel="00000000" w:rsidP="00000000" w:rsidRDefault="00000000" w:rsidRPr="00000000" w14:paraId="0000001C">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Komplexní pozměňovací návrh zavádí soubor věcně souvisejících pravidel, která posilují účinky územně plánovací dokumentace v navazujících povolovacích postupech. Vycházejí z předpokladu, že veřejné zájmy dotčené využitím zastavitelného území byly již odpovídajícím způsobem posouzeny při pořizování územně plánovací dokumentace. Tento předpoklad se promítá zejména do nového § 194 stavebního zákona, do nového znění § 12 odst. 4 a § 44 odst. 3 zákona č. 114/1992 Sb., o ochraně přírody a krajiny, a do nového § 9 odst. 2 písm. a) zákona č. 334/1992 Sb., o ochraně zemědělského půdního fondu.</w:t>
      </w:r>
    </w:p>
    <w:p w:rsidR="00000000" w:rsidDel="00000000" w:rsidP="00000000" w:rsidRDefault="00000000" w:rsidRPr="00000000" w14:paraId="0000001D">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územně plánovací dokumentace pořizované nebo měněné již za účinnosti nové právní úpravy je takové řešení systémově možné, protože pořizovatel, dotčené orgány, obce, vlastníci i veřejnost budou znát nové zákonné následky, které se s vymezením zastavitelných ploch, zastavitelného území, koridorů pro stavební záměr nebo ploch těžby spojují. U územně plánovací dokumentace vydané přede dnem nabytí účinnosti tohoto zákona však tento předpoklad splněn není. Tato dokumentace byla pořizována za jiného právního stavu a bez vědomí, že její dřívější obsah bude v budoucnu zakládat nové zákonné domněnky nebo vylučovat některá navazující posouzení.</w:t>
      </w:r>
    </w:p>
    <w:p w:rsidR="00000000" w:rsidDel="00000000" w:rsidP="00000000" w:rsidRDefault="00000000" w:rsidRPr="00000000" w14:paraId="0000001E">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Navržené přechodné ustanovení proto nepůsobí proti budoucímu uplatnění nové právní úpravy, ale stanoví časovou hranici jejího použití. Nové účinky se mají uplatnit až u takové územně plánovací dokumentace, popřípadě její změny, která bude pořizována nebo měněna již s vědomím nové právní úpravy a jejích důsledků pro navazující rozhodování. Do té doby se u starší územně plánovací dokumentace zachová dosavadní právní režim.</w:t>
      </w:r>
    </w:p>
    <w:p w:rsidR="00000000" w:rsidDel="00000000" w:rsidP="00000000" w:rsidRDefault="00000000" w:rsidRPr="00000000" w14:paraId="0000001F">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části první se proto nahrazuje dosavadní přechodné ustanovení k § 194 odst. 4 stavebního zákona širším pravidlem vztahujícím se k celému § 194. Dosavadní přechodné ustanovení se týká pouze neposuzování zásad plošné ochrany zemědělského půdního fondu podle § 194 odst. 4. Nový § 194 však obsahuje i obecné domněnky přípustnosti stavebního záměru a souladu povolení záměru s ochranou práv a právem chráněných zájmů účastníků řízení podle odstavců 1 a 2 a pravidlo o neposuzování krajinného rázu podle odstavce 3. I tato ustanovení mohou podstatně změnit účinky starší územně plánovací dokumentace v navazujících řízeních, a proto je vhodné je podřídit témuž přechodnému režimu. Navržené řešení současně odstraňuje kritérium navázané na vydání stanoviska orgánu ochrany zemědělského půdního fondu po nabytí účinnosti zákona č. 41/2015 Sb. Toto kritérium může být u § 194 odst. 4 dílčím vodítkem pro posouzení ochrany zemědělského půdního fondu, avšak neřeší účinky § 194 jako celku, zejména obecné domněnky podle odstavců 1 a 2 ani neposuzování krajinného rázu podle odstavce 3. Pro účely přechodného ustanovení je proto vhodnější jednotné pravidlo založené na tom, zda byla dotčená územně plánovací dokumentace vydána, popřípadě relevantně změněna, již za účinnosti nové právní úpravy.</w:t>
      </w:r>
    </w:p>
    <w:p w:rsidR="00000000" w:rsidDel="00000000" w:rsidP="00000000" w:rsidRDefault="00000000" w:rsidRPr="00000000" w14:paraId="00000020">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části osmé se přechodné ustanovení k § 12 odst. 4 zákona o ochraně přírody a krajiny nahrazuje pravidlem, podle něhož se u zastavitelných ploch a zastavitelného území vymezených ve starších územních plánech nebo regulačních plánech použije dosavadní znění § 12 odst. 4 a § 44 odst. 3. Dosavadní kritérium, zda byly u starší územně plánovací dokumentace dohodnuty podmínky ochrany krajinného rázu, je z hlediska právní jistoty obtížně použitelné, neboť v praxi může vyvolávat spory o obsah, formu a prokazování takové dohody. Stejný přechodný režim se doplňuje i k § 44 odst. 3, protože i toto ustanovení nově pracuje s účinky zastavitelného území a prvků regulačního plánu.</w:t>
      </w:r>
    </w:p>
    <w:p w:rsidR="00000000" w:rsidDel="00000000" w:rsidP="00000000" w:rsidRDefault="00000000" w:rsidRPr="00000000" w14:paraId="00000021">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části deváté se doplňuje přechodné ustanovení k § 9 odst. 2 písm. a) zákona o ochraně zemědělského půdního fondu. Právě toto písmeno je navázáno na zemědělskou půdu v zastavitelných plochách nebo zastavitelném území vymezených v územním plánu nebo regulačním plánu. U starší územně plánovací dokumentace by jeho okamžité použití znamenalo, že dřívější vymezení zastavitelných ploch nebo zastavitelného území získá nový zákonný následek spočívající v tom, že souhlas s odnětím zemědělské půdy ze zemědělského půdního fondu nebude vyžadován.</w:t>
      </w:r>
    </w:p>
    <w:p w:rsidR="00000000" w:rsidDel="00000000" w:rsidP="00000000" w:rsidRDefault="00000000" w:rsidRPr="00000000" w14:paraId="00000022">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Současně se výslovně omezuje použití bodu 8 přechodných ustanovení k zákonu o ochraně zemědělského půdního fondu. Bod 8 obecně řeší případy, kdy byla zemědělská půda přede dnem nabytí účinnosti zákona dotčena záměrem provedeným bez souhlasu orgánu ochrany zemědělského půdního fondu a podle nové právní úpravy by již souhlasu nebylo třeba. Bez navrženého doplnění by toto pravidlo mohlo zpětně zhojit i záměry ve starších zastavitelných plochách nebo zastavitelném území pouze z důvodu nového § 9 odst. 2 písm. a). To by bylo v rozporu se záměrem nepřiznávat starší územně plánovací dokumentaci nové právní účinky zpětně.</w:t>
      </w:r>
    </w:p>
    <w:p w:rsidR="00000000" w:rsidDel="00000000" w:rsidP="00000000" w:rsidRDefault="00000000" w:rsidRPr="00000000" w14:paraId="00000023">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Omezení bodu 8 je formulováno úzce. Vztahuje se jen na případy, v nichž by souhlas s odnětím zemědělské půdy ze zemědělského půdního fondu nebyl vyžadován pouze z důvodu podle § 9 odst. 2 písm. a). Nedotýká se tedy ostatních výjimek podle § 9 odst. 2, které nejsou založeny na vymezení zastavitelné plochy nebo zastavitelného území ve starší územně plánovací dokumentaci. Bod 8 tak zůstává zachován pro jiné případy, v nichž nový zákon souhlas s odnětím nevyžaduje z důvodů nezávislých na starší územně plánovací dokumentaci.</w:t>
      </w:r>
    </w:p>
    <w:p w:rsidR="00000000" w:rsidDel="00000000" w:rsidP="00000000" w:rsidRDefault="00000000" w:rsidRPr="00000000" w14:paraId="00000024">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Navržená úprava tím zachovává přehledný a předvídatelný přechod mezi dosavadní a novou právní úpravou. Neznemožňuje budoucí použití nových ustanovení, ale váže je na situace, v nichž bude nový zákonný standard do územně plánovací dokumentace promítnut vědomě a po nabytí účinnosti zákona. Řešení tak lépe odpovídá požadavkům právní jistoty, předvídatelnosti rozhodování a ochraně legitimních očekávání obcí, vlastníků, stavebníků, dotčených orgánů i stavebních úřadů.</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