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b w:val="1"/>
          <w:bCs w:val="1"/>
          <w:color w:val="000000"/>
          <w:sz w:val="36"/>
          <w:szCs w:val="36"/>
        </w:rPr>
      </w:pPr>
      <w:bookmarkStart w:colFirst="0" w:colLast="0" w:name="_gjdgxs" w:id="0"/>
      <w:bookmarkEnd w:id="0"/>
      <w:r w:rsidDel="00000000" w:rsidR="00000000" w:rsidRPr="00000000">
        <w:rPr>
          <w:rFonts w:ascii="Times New Roman" w:cs="Times New Roman" w:eastAsia="Times New Roman" w:hAnsi="Times New Roman"/>
          <w:b w:val="1"/>
          <w:bCs w:val="1"/>
          <w:color w:val="000000"/>
          <w:sz w:val="36"/>
          <w:szCs w:val="36"/>
          <w:rtl w:val="0"/>
        </w:rPr>
        <w:t xml:space="preserve">PARLAMENT ČESKÉ REPUBLIKY</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tabs>
          <w:tab w:val="center" w:leader="none" w:pos="4536"/>
          <w:tab w:val="right" w:leader="none" w:pos="9072"/>
        </w:tabs>
        <w:spacing w:after="200" w:before="200" w:line="276"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ab/>
        <w:t xml:space="preserve">Poslanecká sněmovna</w:t>
        <w:tab/>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20</w:t>
      </w:r>
      <w:r w:rsidDel="00000000" w:rsidR="00000000" w:rsidRPr="00000000">
        <w:rPr>
          <w:rFonts w:ascii="Times New Roman" w:cs="Times New Roman" w:eastAsia="Times New Roman" w:hAnsi="Times New Roman"/>
          <w:b w:val="1"/>
          <w:bCs w:val="1"/>
          <w:sz w:val="36"/>
          <w:szCs w:val="36"/>
          <w:rtl w:val="0"/>
        </w:rPr>
        <w:t xml:space="preserve">26</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X</w:t>
      </w:r>
      <w:r w:rsidDel="00000000" w:rsidR="00000000" w:rsidRPr="00000000">
        <w:rPr>
          <w:rFonts w:ascii="Times New Roman" w:cs="Times New Roman" w:eastAsia="Times New Roman" w:hAnsi="Times New Roman"/>
          <w:b w:val="1"/>
          <w:bCs w:val="1"/>
          <w:color w:val="000000"/>
          <w:sz w:val="36"/>
          <w:szCs w:val="36"/>
          <w:rtl w:val="0"/>
        </w:rPr>
        <w:t xml:space="preserve">. volební období</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___________________________________________________________</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200" w:before="200" w:line="276"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8">
      <w:pPr>
        <w:keepNext w:val="1"/>
        <w:keepLines w:val="1"/>
        <w:widowControl w:val="0"/>
        <w:spacing w:after="200" w:before="20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Pozměňovací návrh </w:t>
      </w:r>
    </w:p>
    <w:p w:rsidR="00000000" w:rsidDel="00000000" w:rsidP="00000000" w:rsidRDefault="00000000" w:rsidRPr="00000000" w14:paraId="00000009">
      <w:pPr>
        <w:keepNext w:val="1"/>
        <w:keepLines w:val="1"/>
        <w:widowControl w:val="0"/>
        <w:spacing w:after="200" w:before="24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poslanců a poslankyň</w:t>
      </w:r>
    </w:p>
    <w:p w:rsidR="00000000" w:rsidDel="00000000" w:rsidP="00000000" w:rsidRDefault="00000000" w:rsidRPr="00000000" w14:paraId="0000000A">
      <w:pPr>
        <w:keepNext w:val="1"/>
        <w:keepLines w:val="1"/>
        <w:widowControl w:val="0"/>
        <w:spacing w:after="200" w:before="24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Ivana Bartoše, Kateřiny Stojanové, Zdeňka Hřiba, Olgy Richterové, Gabriely Svárovské, Veroniky Kovářové, Barbory Pipášové a Lenky Martínkové Španihelové</w:t>
      </w:r>
    </w:p>
    <w:p w:rsidR="00000000" w:rsidDel="00000000" w:rsidP="00000000" w:rsidRDefault="00000000" w:rsidRPr="00000000" w14:paraId="0000000B">
      <w:pPr>
        <w:widowControl w:val="0"/>
        <w:spacing w:after="200" w:before="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widowControl w:val="0"/>
        <w:spacing w:after="200" w:before="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200" w:before="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 komplexnímu pozměňovacímu návrhu uvedenému v usnesení hospodářského výboru č. 55 ze dne 30. dubna 2026 k</w:t>
      </w:r>
    </w:p>
    <w:p w:rsidR="00000000" w:rsidDel="00000000" w:rsidP="00000000" w:rsidRDefault="00000000" w:rsidRPr="00000000" w14:paraId="0000000E">
      <w:pPr>
        <w:spacing w:after="3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p>
    <w:p w:rsidR="00000000" w:rsidDel="00000000" w:rsidP="00000000" w:rsidRDefault="00000000" w:rsidRPr="00000000" w14:paraId="0000000F">
      <w:pPr>
        <w:widowControl w:val="0"/>
        <w:spacing w:after="200" w:before="200"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0">
      <w:pPr>
        <w:widowControl w:val="0"/>
        <w:spacing w:after="200" w:before="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40"/>
          <w:szCs w:val="40"/>
          <w:rtl w:val="0"/>
        </w:rPr>
        <w:t xml:space="preserve">ST 67/11</w:t>
      </w:r>
      <w:r w:rsidDel="00000000" w:rsidR="00000000" w:rsidRPr="00000000">
        <w:rPr>
          <w:rtl w:val="0"/>
        </w:rPr>
      </w:r>
    </w:p>
    <w:p w:rsidR="00000000" w:rsidDel="00000000" w:rsidP="00000000" w:rsidRDefault="00000000" w:rsidRPr="00000000" w14:paraId="00000011">
      <w:pPr>
        <w:widowControl w:val="0"/>
        <w:spacing w:after="200" w:before="200" w:line="276"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widowControl w:val="0"/>
        <w:spacing w:after="200" w:before="20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widowControl w:val="0"/>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Datum: </w:t>
      </w:r>
      <w:r w:rsidDel="00000000" w:rsidR="00000000" w:rsidRPr="00000000">
        <w:rPr>
          <w:rFonts w:ascii="Times New Roman" w:cs="Times New Roman" w:eastAsia="Times New Roman" w:hAnsi="Times New Roman"/>
          <w:rtl w:val="0"/>
        </w:rPr>
        <w:t xml:space="preserve">27. 5. 2026</w:t>
      </w:r>
      <w:r w:rsidDel="00000000" w:rsidR="00000000" w:rsidRPr="00000000">
        <w:br w:type="page"/>
      </w:r>
      <w:r w:rsidDel="00000000" w:rsidR="00000000" w:rsidRPr="00000000">
        <w:rPr>
          <w:rtl w:val="0"/>
        </w:rPr>
      </w:r>
    </w:p>
    <w:p w:rsidR="00000000" w:rsidDel="00000000" w:rsidP="00000000" w:rsidRDefault="00000000" w:rsidRPr="00000000" w14:paraId="00000014">
      <w:pPr>
        <w:widowControl w:val="0"/>
        <w:spacing w:after="200" w:before="20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Komplexní pozměňovací návrh uvedený v usnesení hospodářského výboru č. 55 ze dne 30. dubna 2026 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(sněmovní tisk 67/11), se mění takto:</w:t>
      </w:r>
      <w:r w:rsidDel="00000000" w:rsidR="00000000" w:rsidRPr="00000000">
        <w:rPr>
          <w:rtl w:val="0"/>
        </w:rPr>
      </w:r>
    </w:p>
    <w:p w:rsidR="00000000" w:rsidDel="00000000" w:rsidP="00000000" w:rsidRDefault="00000000" w:rsidRPr="00000000" w14:paraId="00000015">
      <w:pPr>
        <w:numPr>
          <w:ilvl w:val="0"/>
          <w:numId w:val="1"/>
        </w:numPr>
        <w:tabs>
          <w:tab w:val="left" w:leader="none" w:pos="851"/>
        </w:tabs>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 část třicátou osmou se vkládá nová část třicátá devátá, která včetně nadpisu zní:</w:t>
      </w:r>
    </w:p>
    <w:p w:rsidR="00000000" w:rsidDel="00000000" w:rsidP="00000000" w:rsidRDefault="00000000" w:rsidRPr="00000000" w14:paraId="00000016">
      <w:pPr>
        <w:tabs>
          <w:tab w:val="left" w:leader="none" w:pos="851"/>
        </w:tabs>
        <w:spacing w:after="200" w:before="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„ČÁST TŘICÁTÁ DEVÁTÁ</w:t>
      </w:r>
    </w:p>
    <w:p w:rsidR="00000000" w:rsidDel="00000000" w:rsidP="00000000" w:rsidRDefault="00000000" w:rsidRPr="00000000" w14:paraId="00000017">
      <w:pPr>
        <w:tabs>
          <w:tab w:val="left" w:leader="none" w:pos="851"/>
        </w:tabs>
        <w:spacing w:after="200" w:before="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Změna zákona o střetu zájmů</w:t>
      </w:r>
    </w:p>
    <w:p w:rsidR="00000000" w:rsidDel="00000000" w:rsidP="00000000" w:rsidRDefault="00000000" w:rsidRPr="00000000" w14:paraId="00000018">
      <w:pPr>
        <w:tabs>
          <w:tab w:val="left" w:leader="none" w:pos="851"/>
        </w:tabs>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Čl. LVI</w:t>
      </w:r>
    </w:p>
    <w:p w:rsidR="00000000" w:rsidDel="00000000" w:rsidP="00000000" w:rsidRDefault="00000000" w:rsidRPr="00000000" w14:paraId="00000019">
      <w:pPr>
        <w:tabs>
          <w:tab w:val="left" w:leader="none" w:pos="851"/>
        </w:tabs>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zákoně č. 159/2006 Sb., o střetu zájmů, ve znění zákona č. 216/2008 Sb., zákona č. 158/2009 Sb., zákona č. 281/2009 Sb., zákona č. 350/2009 Sb., zákona č. 167/2012 Sb., zákona č. 503/2012 Sb., zákona č. 131/2015 Sb., zákona č. 190/2016 Sb., zákona č. 298/2016 Sb., zákona č. 302/2016 Sb., zákona č. 14/2017 Sb., zákona č. 183/2017 Sb., zákona č. 112/2018 Sb., nálezu Ústavního soudu vyhlášeného pod č. 149/2020 Sb., zákona č. 261/2021 Sb., zákona č. 180/2022 Sb., zákona č. 253/2023 Sb., zákona č. 263/2024 Sb., zákona č. 448/2024 Sb., zákona č. 77/2025 Sb., zákona č. 218/2025 Sb. a zákona č. 232/2025 Sb., se § 4b zrušuje.“.</w:t>
      </w:r>
    </w:p>
    <w:p w:rsidR="00000000" w:rsidDel="00000000" w:rsidP="00000000" w:rsidRDefault="00000000" w:rsidRPr="00000000" w14:paraId="0000001A">
      <w:pPr>
        <w:numPr>
          <w:ilvl w:val="0"/>
          <w:numId w:val="1"/>
        </w:numPr>
        <w:tabs>
          <w:tab w:val="left" w:leader="none" w:pos="851"/>
        </w:tabs>
        <w:spacing w:after="200" w:before="20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 dosavadní části čtyřicáté páté v čl. LXVI se za bod 4 vkládají nové body 5 až 9, které znějí:</w:t>
      </w:r>
    </w:p>
    <w:p w:rsidR="00000000" w:rsidDel="00000000" w:rsidP="00000000" w:rsidRDefault="00000000" w:rsidRPr="00000000" w14:paraId="0000001B">
      <w:pPr>
        <w:tabs>
          <w:tab w:val="left" w:leader="none" w:pos="851"/>
        </w:tabs>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V § 31 se dosavadní text označuje jako odstavec 1 a doplňuje se odstavec 2, který zní:</w:t>
      </w:r>
    </w:p>
    <w:p w:rsidR="00000000" w:rsidDel="00000000" w:rsidP="00000000" w:rsidRDefault="00000000" w:rsidRPr="00000000" w14:paraId="0000001C">
      <w:pPr>
        <w:tabs>
          <w:tab w:val="left" w:leader="none" w:pos="851"/>
        </w:tabs>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Zadavatel uvedený v § 48 odst. 8 nesmí zadat veřejnou zakázku malého rozsahu dodavateli, kterého muže podle tohoto ustanovení vyloučit ze zadávacího řízení. Takové jednání je neplatné.“.</w:t>
      </w:r>
    </w:p>
    <w:p w:rsidR="00000000" w:rsidDel="00000000" w:rsidP="00000000" w:rsidRDefault="00000000" w:rsidRPr="00000000" w14:paraId="0000001D">
      <w:pPr>
        <w:tabs>
          <w:tab w:val="left" w:leader="none" w:pos="851"/>
        </w:tabs>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V § 48 se za odstavec 7 vkládají nové odstavce 8 a 9, které znějí:</w:t>
      </w:r>
    </w:p>
    <w:p w:rsidR="00000000" w:rsidDel="00000000" w:rsidP="00000000" w:rsidRDefault="00000000" w:rsidRPr="00000000" w14:paraId="0000001E">
      <w:pPr>
        <w:tabs>
          <w:tab w:val="left" w:leader="none" w:pos="851"/>
        </w:tabs>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Zadavatel</w:t>
      </w:r>
    </w:p>
    <w:p w:rsidR="00000000" w:rsidDel="00000000" w:rsidP="00000000" w:rsidRDefault="00000000" w:rsidRPr="00000000" w14:paraId="0000001F">
      <w:pPr>
        <w:tabs>
          <w:tab w:val="left" w:leader="none" w:pos="851"/>
        </w:tabs>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podle § 4 odst. 1 písm. a) až c),</w:t>
      </w:r>
    </w:p>
    <w:p w:rsidR="00000000" w:rsidDel="00000000" w:rsidP="00000000" w:rsidRDefault="00000000" w:rsidRPr="00000000" w14:paraId="00000020">
      <w:pPr>
        <w:tabs>
          <w:tab w:val="left" w:leader="none" w:pos="851"/>
        </w:tabs>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podle § 4 odst. 1 písm. e), kterého jiný zadavatel podle § 4 odst. 1 písm. a), b) nebo c) převážně financuje, může v něm uplatňovat rozhodující vliv nebo jmenuje nebo volí více než polovinu členů v jeho statutárním nebo kontrolním orgánu, nebo</w:t>
      </w:r>
    </w:p>
    <w:p w:rsidR="00000000" w:rsidDel="00000000" w:rsidP="00000000" w:rsidRDefault="00000000" w:rsidRPr="00000000" w14:paraId="00000021">
      <w:pPr>
        <w:tabs>
          <w:tab w:val="left" w:leader="none" w:pos="851"/>
        </w:tabs>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který zadává veřejnou zakázku podle § 151 odst. 2 písm. b), pokud nad ním přímo nebo nepřímo může uplatňovat dominantní vliv veřejný zadavatel podle písmene a) nebo b),</w:t>
      </w:r>
    </w:p>
    <w:p w:rsidR="00000000" w:rsidDel="00000000" w:rsidP="00000000" w:rsidRDefault="00000000" w:rsidRPr="00000000" w14:paraId="00000022">
      <w:pPr>
        <w:tabs>
          <w:tab w:val="left" w:leader="none" w:pos="851"/>
        </w:tabs>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může vyloučit účastníka zadávacího řízení, pokud je jím člen vlády nebo vedoucí jiného ústředního správního úřadu, v jehož čele není člen vlády, nebo právnická osoba, jejímž je tento veřejný funkcionář skutečným majitelem; to platí i v případě, kdy je taková osoba poddodavatelem, prostřednictvím kterého dodavatel prokazuje kvalifikaci, pokud dodavatel na výzvu zadavatele poddodavatele v přiměřené lhůtě nenahradí.</w:t>
      </w:r>
    </w:p>
    <w:p w:rsidR="00000000" w:rsidDel="00000000" w:rsidP="00000000" w:rsidRDefault="00000000" w:rsidRPr="00000000" w14:paraId="00000023">
      <w:pPr>
        <w:tabs>
          <w:tab w:val="left" w:leader="none" w:pos="851"/>
        </w:tabs>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Pro účely odstavce 8 se za právnickou osobu, jejímž je veřejný funkcionář podle odstavce 8 skutečným majitelem, považuje také právnická osoba, jestliže</w:t>
      </w:r>
    </w:p>
    <w:p w:rsidR="00000000" w:rsidDel="00000000" w:rsidP="00000000" w:rsidRDefault="00000000" w:rsidRPr="00000000" w14:paraId="00000024">
      <w:pPr>
        <w:tabs>
          <w:tab w:val="left" w:leader="none" w:pos="851"/>
        </w:tabs>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je v ní prostřednictvím svěřenského fondu nebo obdobného právního uspořádání držena účast, uplatňováno právo na podíl na zisku, jiných vlastních zdrojích nebo likvidačním zůstatku nebo uplatňován rozhodující vliv, a</w:t>
      </w:r>
    </w:p>
    <w:p w:rsidR="00000000" w:rsidDel="00000000" w:rsidP="00000000" w:rsidRDefault="00000000" w:rsidRPr="00000000" w14:paraId="00000025">
      <w:pPr>
        <w:tabs>
          <w:tab w:val="left" w:leader="none" w:pos="851"/>
        </w:tabs>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před vložením, vyčleněním, převodem nebo jiným svěřením do správy byl tím, komu účast, právo nebo rozhodující vliv podle písmene a) přímo nebo nepřímo náležely, veřejný funkcionář podle odstavce 8 nebo osoba jím ovládaná.“.</w:t>
      </w:r>
    </w:p>
    <w:p w:rsidR="00000000" w:rsidDel="00000000" w:rsidP="00000000" w:rsidRDefault="00000000" w:rsidRPr="00000000" w14:paraId="00000026">
      <w:pPr>
        <w:tabs>
          <w:tab w:val="left" w:leader="none" w:pos="851"/>
        </w:tabs>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Dosavadní odstavce 8 až 11 se označují jako odstavce 10 až 13.</w:t>
      </w:r>
    </w:p>
    <w:p w:rsidR="00000000" w:rsidDel="00000000" w:rsidP="00000000" w:rsidRDefault="00000000" w:rsidRPr="00000000" w14:paraId="00000027">
      <w:pPr>
        <w:tabs>
          <w:tab w:val="left" w:leader="none" w:pos="851"/>
        </w:tabs>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V § 48 odst. 10 se za číslo „2“ vkládají slova „nebo 8“.</w:t>
      </w:r>
    </w:p>
    <w:p w:rsidR="00000000" w:rsidDel="00000000" w:rsidP="00000000" w:rsidRDefault="00000000" w:rsidRPr="00000000" w14:paraId="00000028">
      <w:pPr>
        <w:tabs>
          <w:tab w:val="left" w:leader="none" w:pos="851"/>
        </w:tabs>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V § 48 odst. 12 se číslo „9“ nahrazuje číslem „11“.</w:t>
      </w:r>
    </w:p>
    <w:p w:rsidR="00000000" w:rsidDel="00000000" w:rsidP="00000000" w:rsidRDefault="00000000" w:rsidRPr="00000000" w14:paraId="00000029">
      <w:pPr>
        <w:tabs>
          <w:tab w:val="left" w:leader="none" w:pos="851"/>
        </w:tabs>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V § 67 odst. 3 úvodní části ustanovení a v písmenu a) se číslo „9“ nahrazuje číslem „11“.“.</w:t>
      </w:r>
    </w:p>
    <w:p w:rsidR="00000000" w:rsidDel="00000000" w:rsidP="00000000" w:rsidRDefault="00000000" w:rsidRPr="00000000" w14:paraId="0000002A">
      <w:pPr>
        <w:tabs>
          <w:tab w:val="left" w:leader="none" w:pos="851"/>
        </w:tabs>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Dosavadní bod 5 se označuje jako bod 10.</w:t>
      </w:r>
    </w:p>
    <w:p w:rsidR="00000000" w:rsidDel="00000000" w:rsidP="00000000" w:rsidRDefault="00000000" w:rsidRPr="00000000" w14:paraId="0000002B">
      <w:pPr>
        <w:numPr>
          <w:ilvl w:val="0"/>
          <w:numId w:val="1"/>
        </w:numPr>
        <w:tabs>
          <w:tab w:val="left" w:leader="none" w:pos="851"/>
        </w:tabs>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Dosavadní části a články se přečíslují.</w:t>
      </w:r>
    </w:p>
    <w:p w:rsidR="00000000" w:rsidDel="00000000" w:rsidP="00000000" w:rsidRDefault="00000000" w:rsidRPr="00000000" w14:paraId="0000002C">
      <w:pPr>
        <w:tabs>
          <w:tab w:val="left" w:leader="none" w:pos="851"/>
        </w:tabs>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tabs>
          <w:tab w:val="left" w:leader="none" w:pos="851"/>
        </w:tabs>
        <w:spacing w:after="200" w:before="200" w:line="276" w:lineRule="auto"/>
        <w:ind w:lef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E">
      <w:pPr>
        <w:keepNext w:val="1"/>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 d ů v o d n ě n í</w:t>
      </w:r>
    </w:p>
    <w:p w:rsidR="00000000" w:rsidDel="00000000" w:rsidP="00000000" w:rsidRDefault="00000000" w:rsidRPr="00000000" w14:paraId="0000002F">
      <w:pPr>
        <w:keepNext w:val="1"/>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Smyslem navrhované právní úpravy je prostřednictvím novely zákona č. 134/2016 Sb., o zadávání veřejných zakázek, překlenout výkladový problém týkající se vztahu zákona o zadávání veřejných zakázek a zákona č. 159/2006 Sb., o střetu zájmů.</w:t>
      </w:r>
    </w:p>
    <w:p w:rsidR="00000000" w:rsidDel="00000000" w:rsidP="00000000" w:rsidRDefault="00000000" w:rsidRPr="00000000" w14:paraId="00000030">
      <w:pPr>
        <w:keepNext w:val="1"/>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o zadávání veřejných zakázek v § 48 odst. 1 stanoví, že zadavatel může vyloučit účastníka zadávacího řízení pouze z důvodů stanovených tímto zákonem nebo z důvodů pro vyloučení nebo odmítnutí nabídky nebo žádosti o účast stanovených přímo použitelným předpisem Evropské unie. Zvláštní pravidlo týkající se obchodních společností napojených na člena vlády nebo vedoucího jiného ústředního správního úřadu je však v současnosti obsaženo v zákoně o střetu zájmů. Podle tohoto pravidla se obchodní společnost, ve které má takový veřejný funkcionář nebo jím ovládaná osoba zákonem stanovenou účast, nesmí účastnit zadávacího řízení ani vystupovat jako poddodavatel, jehož prostřednictvím dodavatel prokazuje kvalifikaci.</w:t>
      </w:r>
    </w:p>
    <w:p w:rsidR="00000000" w:rsidDel="00000000" w:rsidP="00000000" w:rsidRDefault="00000000" w:rsidRPr="00000000" w14:paraId="00000031">
      <w:pPr>
        <w:keepNext w:val="1"/>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Současná právní úprava tak v praxi vyvolává výkladové nejasnosti. Ačkoliv lze dovozovat, že pravidlo obsažené v zákoně o střetu zájmů má být v zadávacích řízeních aplikováno, jeho umístění mimo zákon o zadávání veřejných zakázek formálně znesnadňuje postup zadavatelů podle § 48 zákona o zadávání veřejných zakázek. Právní úprava tak může vést k nejednotné praxi a k nejistotě zadavatelů i dodavatelů.</w:t>
      </w:r>
    </w:p>
    <w:p w:rsidR="00000000" w:rsidDel="00000000" w:rsidP="00000000" w:rsidRDefault="00000000" w:rsidRPr="00000000" w14:paraId="00000032">
      <w:pPr>
        <w:keepNext w:val="1"/>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Navrhuje se proto, aby byl tento důvod pro vyloučení účastníka zadávacího řízení výslovně upraven přímo v zákoně o zadávání veřejných zakázek. Tím se odstraní pochybnosti o tom, zda zadavatel může podle § 48 zákona o zadávání veřejných zakázek vyloučit účastníka zadávacího řízení z důvodu střetu zájmů založeného majetkovým propojením s členem vlády nebo vedoucím jiného ústředního správního úřadu. Navrhovaná právní úprava zároveň zachovává obdobný dopad i na případy, kdy je taková osoba poddodavatelem, prostřednictvím kterého dodavatel prokazuje kvalifikaci.</w:t>
      </w:r>
    </w:p>
    <w:p w:rsidR="00000000" w:rsidDel="00000000" w:rsidP="00000000" w:rsidRDefault="00000000" w:rsidRPr="00000000" w14:paraId="00000033">
      <w:pPr>
        <w:keepNext w:val="1"/>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 hlediska proporcionality se navrhovaná úprava nevztahuje na všechny zadavatele bez rozdílu. Dopadá pouze na zadavatele, u nichž je vzhledem k postavení člena vlády nebo vedoucího jiného ústředního správního úřadu dána dostatečně silná vazba na výkon ústřední výkonné moci. Jde zejména o Českou republiku, Českou národní banku, státní příspěvkové organizace, vybrané právnické osoby ovládané nebo financované těmito zadavateli a dále o sektorové zadavatele, pokud nad nimi může přímo nebo nepřímo uplatňovat dominantní vliv takový veřejný zadavatel. Navrhovaná úprava tak nedopadá plošně na všechny veřejné zadavatele, zejména nikoliv obecně na územní samosprávné celky a jejich příspěvkové organizace.</w:t>
      </w:r>
    </w:p>
    <w:p w:rsidR="00000000" w:rsidDel="00000000" w:rsidP="00000000" w:rsidRDefault="00000000" w:rsidRPr="00000000" w14:paraId="00000034">
      <w:pPr>
        <w:keepNext w:val="1"/>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Pozměňovací návrh zároveň reaguje na možnost obcházení zákazu prostřednictvím svěřenských fondů nebo obdobných právních uspořádání. Samotné spoléhání na formální zápis skutečného majitele podle zákona upravujícího evidenci skutečných majitelů nemusí být pro účely veřejných zakázek dostatečné, pokud je majetková účast dříve náležející veřejnému funkcionáři nebo osobě jím ovládané vložena, vyčleněna, převedena nebo jinak svěřena do správy prostřednictvím svěřenského fondu nebo obdobného právního uspořádání.</w:t>
      </w:r>
    </w:p>
    <w:p w:rsidR="00000000" w:rsidDel="00000000" w:rsidP="00000000" w:rsidRDefault="00000000" w:rsidRPr="00000000" w14:paraId="00000035">
      <w:pPr>
        <w:keepNext w:val="1"/>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Navrhovaný odstavec 9 proto stanoví, že pro účely nového pravidla se za právnickou osobu, jejímž je veřejný funkcionář skutečným majitelem, považuje také právnická osoba, v níž je prostřednictvím svěřenského fondu nebo obdobného právního uspořádání držena účast, uplatňováno právo na podíl na zisku, jiných vlastních zdrojích nebo likvidačním zůstatku nebo uplatňován rozhodující vliv odpovídající postavení skutečného majitele, jestliže tato účast, právo nebo vliv před svěřením do správy přímo nebo nepřímo náležely veřejnému funkcionáři nebo osobě jím ovládané.</w:t>
      </w:r>
    </w:p>
    <w:p w:rsidR="00000000" w:rsidDel="00000000" w:rsidP="00000000" w:rsidRDefault="00000000" w:rsidRPr="00000000" w14:paraId="00000036">
      <w:pPr>
        <w:keepNext w:val="1"/>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Rozhodující je tedy materiální návaznost na majetek veřejného funkcionáře nebo osoby jím ovládané, nikoli pouze formální postavení jednotlivých osob ve svěřenském fondu. Pravidlo tím předchází situacím, v nichž by bylo možné zákaz účasti ve veřejných zakázkách obejít tím, že veřejný funkcionář nebude formálně uveden jako zakladatel, svěřenský správce, obmyšlený nebo skutečný majitel svěřenského fondu, ačkoli rozhodná majetková účast byla do takového právního uspořádání vložena z jeho majetkové sféry nebo z majetkové sféry osoby jím ovládané.</w:t>
      </w:r>
    </w:p>
    <w:p w:rsidR="00000000" w:rsidDel="00000000" w:rsidP="00000000" w:rsidRDefault="00000000" w:rsidRPr="00000000" w14:paraId="00000037">
      <w:pPr>
        <w:keepNext w:val="1"/>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Navrhované řešení je formulováno jako speciální pravidlo pro účely zadávání veřejných zakázek. Nemění obecnou úpravu evidence skutečných majitelů ani obecnou soukromoprávní úpravu svěřenských fondů. Pouze stanoví, že pro účely posouzení střetu zájmů v zadávacím řízení nelze odhlížet od původu účasti, práva nebo vlivu, které byly svěřeny do správy prostřednictvím svěřenského fondu nebo obdobného právního uspořádání.</w:t>
      </w:r>
    </w:p>
    <w:p w:rsidR="00000000" w:rsidDel="00000000" w:rsidP="00000000" w:rsidRDefault="00000000" w:rsidRPr="00000000" w14:paraId="00000038">
      <w:pPr>
        <w:keepNext w:val="1"/>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veřejných zakázek malého rozsahu se navrhuje zachovat obdobné pravidlo jako v dosavadní úpravě zákona o střetu zájmů. Zadavatel uvedený v § 48 odst. 8 proto nesmí zadat veřejnou zakázku malého rozsahu osobě, u níž by byly naplněny důvody pro vyloučení podle navrhovaného ustanovení. Takové jednání se výslovně prohlašuje za neplatné.</w:t>
      </w:r>
    </w:p>
    <w:p w:rsidR="00000000" w:rsidDel="00000000" w:rsidP="00000000" w:rsidRDefault="00000000" w:rsidRPr="00000000" w14:paraId="00000039">
      <w:pPr>
        <w:keepNext w:val="1"/>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technickým aspektům navrhované úpravy se uvádí, že nový důvod vyloučení je konstruován obdobně jako některé jiné důvody vyloučení podle § 48 zákona o zadávání veřejných zakázek. Zadavatel může účastníka zadávacího řízení vyloučit kdykoliv v průběhu zadávacího řízení, avšak u vybraného dodavatele se v návaznosti na § 48 odst. 10 stanoví povinnost vyloučení, zjistí-li zadavatel naplnění důvodu podle navrhovaného odstavce 8. Tento postup odpovídá praktickému fungování zadávacích řízení, neboť zadavatel zpravidla podrobně ověřuje splnění podmínek účasti zejména u vybraného dodavatele. Není účelné ani přiměřené ukládat zadavatelům povinnost provádět plnou kontrolu všech účastníků zadávacího řízení bez ohledu na to, zda s nimi zadavatel vůbec hodlá uzavřít smlouvu.</w:t>
      </w:r>
    </w:p>
    <w:p w:rsidR="00000000" w:rsidDel="00000000" w:rsidP="00000000" w:rsidRDefault="00000000" w:rsidRPr="00000000" w14:paraId="0000003A">
      <w:pPr>
        <w:keepNext w:val="1"/>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Navrhovaná právní úprava tak sleduje dva cíle. Zaprvé odstraňuje dosavadní výkladové nejasnosti tím, že důvod vyloučení spojený se střetem zájmů vybraných veřejných funkcionářů výslovně zakotvuje přímo v zákoně o zadávání veřejných zakázek. Zadruhé brání obcházení tohoto pravidla prostřednictvím svěřenských fondů nebo obdobných právních uspořádání, pokud rozhodná účast, právo nebo vliv pochází z majetkové sféry veřejného funkcionáře nebo osoby jím ovládané.</w:t>
      </w:r>
    </w:p>
    <w:p w:rsidR="00000000" w:rsidDel="00000000" w:rsidP="00000000" w:rsidRDefault="00000000" w:rsidRPr="00000000" w14:paraId="0000003B">
      <w:pPr>
        <w:keepNext w:val="1"/>
        <w:spacing w:before="240" w:lineRule="auto"/>
        <w:ind w:right="284"/>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before="240" w:lineRule="auto"/>
        <w:ind w:right="28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PLATNÉ ZNĚNÍ ZÁKONA Č. 134/2016 SB. O ZADÁVÁNÍ VEŘEJNÝCH ZAKÁZEK S VYZNAČENÍM NAVRHOVANÝCH ZMĚN A DOPLNĚNÍ</w:t>
      </w:r>
    </w:p>
    <w:p w:rsidR="00000000" w:rsidDel="00000000" w:rsidP="00000000" w:rsidRDefault="00000000" w:rsidRPr="00000000" w14:paraId="0000003D">
      <w:pPr>
        <w:spacing w:before="240" w:lineRule="auto"/>
        <w:ind w:right="28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03E">
      <w:pPr>
        <w:pBdr>
          <w:top w:color="000000" w:space="3" w:sz="0" w:val="none"/>
          <w:left w:color="000000" w:space="25" w:sz="0" w:val="none"/>
          <w:bottom w:color="000000" w:space="3" w:sz="0" w:val="none"/>
          <w:right w:color="000000" w:space="30" w:sz="0" w:val="none"/>
          <w:between w:color="000000" w:space="3" w:sz="0" w:val="none"/>
        </w:pBdr>
        <w:shd w:fill="ffffff" w:val="clea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31</w:t>
      </w:r>
      <w:r w:rsidDel="00000000" w:rsidR="00000000" w:rsidRPr="00000000">
        <w:rPr>
          <w:rtl w:val="0"/>
        </w:rPr>
      </w:r>
    </w:p>
    <w:p w:rsidR="00000000" w:rsidDel="00000000" w:rsidP="00000000" w:rsidRDefault="00000000" w:rsidRPr="00000000" w14:paraId="0000003F">
      <w:pPr>
        <w:pStyle w:val="Heading3"/>
        <w:keepNext w:val="0"/>
        <w:keepLines w:val="0"/>
        <w:pBdr>
          <w:top w:color="000000" w:space="3" w:sz="0" w:val="none"/>
          <w:left w:color="000000" w:space="6" w:sz="0" w:val="none"/>
          <w:bottom w:color="000000" w:space="3" w:sz="0" w:val="none"/>
          <w:right w:color="000000" w:space="30" w:sz="0" w:val="none"/>
          <w:between w:color="000000" w:space="3" w:sz="0" w:val="none"/>
        </w:pBdr>
        <w:shd w:fill="ffffff" w:val="clear"/>
        <w:spacing w:after="0" w:before="0" w:line="360" w:lineRule="auto"/>
        <w:jc w:val="center"/>
        <w:rPr>
          <w:rFonts w:ascii="Times New Roman" w:cs="Times New Roman" w:eastAsia="Times New Roman" w:hAnsi="Times New Roman"/>
          <w:b w:val="1"/>
          <w:bCs w:val="1"/>
          <w:sz w:val="24"/>
          <w:szCs w:val="24"/>
        </w:rPr>
      </w:pPr>
      <w:bookmarkStart w:colFirst="0" w:colLast="0" w:name="_30j0zll" w:id="1"/>
      <w:bookmarkEnd w:id="1"/>
      <w:r w:rsidDel="00000000" w:rsidR="00000000" w:rsidRPr="00000000">
        <w:rPr>
          <w:rFonts w:ascii="Times New Roman" w:cs="Times New Roman" w:eastAsia="Times New Roman" w:hAnsi="Times New Roman"/>
          <w:b w:val="1"/>
          <w:bCs w:val="1"/>
          <w:sz w:val="24"/>
          <w:szCs w:val="24"/>
          <w:rtl w:val="0"/>
        </w:rPr>
        <w:t xml:space="preserve">Výjimka pro veřejné zakázky malého rozsahu</w:t>
      </w:r>
    </w:p>
    <w:p w:rsidR="00000000" w:rsidDel="00000000" w:rsidP="00000000" w:rsidRDefault="00000000" w:rsidRPr="00000000" w14:paraId="00000040">
      <w:pPr>
        <w:pBdr>
          <w:top w:color="000000" w:space="3" w:sz="0" w:val="none"/>
          <w:left w:color="000000" w:space="6" w:sz="0" w:val="none"/>
          <w:bottom w:color="000000" w:space="3" w:sz="0" w:val="none"/>
          <w:right w:color="000000" w:space="30" w:sz="0" w:val="none"/>
          <w:between w:color="000000" w:space="3" w:sz="0" w:val="none"/>
        </w:pBdr>
        <w:shd w:fill="ffffff" w:val="clear"/>
        <w:spacing w:line="276"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 Zadavatel není povinen zadat v zadávacím řízení veřejnou zakázku malého rozsahu. Při jejím zadávání je však zadavatel povinen dodržet zásady podle § 6 odst. 1 až 3.</w:t>
      </w:r>
      <w:r w:rsidDel="00000000" w:rsidR="00000000" w:rsidRPr="00000000">
        <w:rPr>
          <w:rtl w:val="0"/>
        </w:rPr>
      </w:r>
    </w:p>
    <w:p w:rsidR="00000000" w:rsidDel="00000000" w:rsidP="00000000" w:rsidRDefault="00000000" w:rsidRPr="00000000" w14:paraId="00000041">
      <w:pPr>
        <w:pBdr>
          <w:top w:color="000000" w:space="3" w:sz="0" w:val="none"/>
          <w:left w:color="000000" w:space="6" w:sz="0" w:val="none"/>
          <w:bottom w:color="000000" w:space="3" w:sz="0" w:val="none"/>
          <w:right w:color="000000" w:space="30" w:sz="0" w:val="none"/>
          <w:between w:color="000000" w:space="3" w:sz="0" w:val="none"/>
        </w:pBdr>
        <w:shd w:fill="ffffff" w:val="clea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Zadavatel uvedený v § 48 odst. 8 nesmí zadat veřejnou zakázku malého rozsahu dodavateli, kterého muže podle tohoto ustanovení vyloučit ze zadávacího řízení. Takové jednání je neplatné.</w:t>
      </w:r>
      <w:r w:rsidDel="00000000" w:rsidR="00000000" w:rsidRPr="00000000">
        <w:rPr>
          <w:rtl w:val="0"/>
        </w:rPr>
      </w:r>
    </w:p>
    <w:p w:rsidR="00000000" w:rsidDel="00000000" w:rsidP="00000000" w:rsidRDefault="00000000" w:rsidRPr="00000000" w14:paraId="00000042">
      <w:pPr>
        <w:spacing w:after="200" w:before="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48 </w:t>
      </w:r>
    </w:p>
    <w:p w:rsidR="00000000" w:rsidDel="00000000" w:rsidP="00000000" w:rsidRDefault="00000000" w:rsidRPr="00000000" w14:paraId="00000044">
      <w:pPr>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Vyloučení účastníka zadávacího řízení</w:t>
      </w:r>
    </w:p>
    <w:p w:rsidR="00000000" w:rsidDel="00000000" w:rsidP="00000000" w:rsidRDefault="00000000" w:rsidRPr="00000000" w14:paraId="00000045">
      <w:pPr>
        <w:spacing w:after="20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Zadavatel může vyloučit účastníka zadávacího řízení pouze z důvodů stanovených tímto zákonem </w:t>
      </w:r>
      <w:r w:rsidDel="00000000" w:rsidR="00000000" w:rsidRPr="00000000">
        <w:rPr>
          <w:rFonts w:ascii="Times New Roman" w:cs="Times New Roman" w:eastAsia="Times New Roman" w:hAnsi="Times New Roman"/>
          <w:rtl w:val="0"/>
        </w:rPr>
        <w:t xml:space="preserve">nebo z důvodů pro vyloučení nebo odmítnutí nabídky nebo žádosti o účast stanovených přímo použitelným předpisem Evropské unie</w:t>
      </w:r>
      <w:r w:rsidDel="00000000" w:rsidR="00000000" w:rsidRPr="00000000">
        <w:rPr>
          <w:rFonts w:ascii="Times New Roman" w:cs="Times New Roman" w:eastAsia="Times New Roman" w:hAnsi="Times New Roman"/>
          <w:rtl w:val="0"/>
        </w:rPr>
        <w:t xml:space="preserve">, a to kdykoliv v průběhu zadávacího řízení.</w:t>
      </w:r>
    </w:p>
    <w:p w:rsidR="00000000" w:rsidDel="00000000" w:rsidP="00000000" w:rsidRDefault="00000000" w:rsidRPr="00000000" w14:paraId="00000046">
      <w:pPr>
        <w:spacing w:after="20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Zadavatel může vyloučit účastníka zadávacího řízení, pokud údaje, doklady, vzorky nebo modely předložené účastníkem zadávacího řízení</w:t>
      </w:r>
    </w:p>
    <w:p w:rsidR="00000000" w:rsidDel="00000000" w:rsidP="00000000" w:rsidRDefault="00000000" w:rsidRPr="00000000" w14:paraId="00000047">
      <w:pPr>
        <w:spacing w:after="24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nesplňují zadávací podmínky nebo je účastník zadávacího řízení ve stanovené lhůtě nedoložil,</w:t>
      </w:r>
    </w:p>
    <w:p w:rsidR="00000000" w:rsidDel="00000000" w:rsidP="00000000" w:rsidRDefault="00000000" w:rsidRPr="00000000" w14:paraId="00000048">
      <w:pPr>
        <w:spacing w:after="24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nebyly účastníkem zadávacího řízení objasněny nebo doplněny na základě žádosti podle § 46, nebo</w:t>
      </w:r>
    </w:p>
    <w:p w:rsidR="00000000" w:rsidDel="00000000" w:rsidP="00000000" w:rsidRDefault="00000000" w:rsidRPr="00000000" w14:paraId="00000049">
      <w:pPr>
        <w:spacing w:after="24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neodpovídají skutečnosti a měly nebo mohou mít vliv na posouzení podmínek účasti nebo na naplnění kritérií hodnocení.</w:t>
      </w:r>
    </w:p>
    <w:p w:rsidR="00000000" w:rsidDel="00000000" w:rsidP="00000000" w:rsidRDefault="00000000" w:rsidRPr="00000000" w14:paraId="0000004A">
      <w:pPr>
        <w:spacing w:after="200" w:before="200" w:lineRule="auto"/>
        <w:ind w:left="720"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Zadavatel může vyloučit účastníka zadávacího řízení, který</w:t>
      </w:r>
    </w:p>
    <w:p w:rsidR="00000000" w:rsidDel="00000000" w:rsidP="00000000" w:rsidRDefault="00000000" w:rsidRPr="00000000" w14:paraId="0000004B">
      <w:pPr>
        <w:spacing w:after="24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neprokázal poskytnutí jistoty, nebo</w:t>
      </w:r>
    </w:p>
    <w:p w:rsidR="00000000" w:rsidDel="00000000" w:rsidP="00000000" w:rsidRDefault="00000000" w:rsidRPr="00000000" w14:paraId="0000004C">
      <w:pPr>
        <w:spacing w:after="24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nezajistil poskytnutí jistoty po celou dobu trvání zadávací lhůty; na posouzení skutečností rozhodných pro složení jistoty se § 46 odst. 2 věta druhá nepoužije.</w:t>
      </w:r>
    </w:p>
    <w:p w:rsidR="00000000" w:rsidDel="00000000" w:rsidP="00000000" w:rsidRDefault="00000000" w:rsidRPr="00000000" w14:paraId="0000004D">
      <w:pPr>
        <w:spacing w:after="200" w:before="200" w:lineRule="auto"/>
        <w:ind w:left="720"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Zadavatel může vyloučit účastníka zadávacího řízení, pokud nabídka účastníka zadávacího řízení obsahuje mimořádně nízkou nabídkovou cenu, která nebyla na písemnou žádost zadavatele účastníkem zadávacího řízení zdůvodněna.</w:t>
      </w:r>
    </w:p>
    <w:p w:rsidR="00000000" w:rsidDel="00000000" w:rsidP="00000000" w:rsidRDefault="00000000" w:rsidRPr="00000000" w14:paraId="0000004E">
      <w:pPr>
        <w:spacing w:after="200" w:before="200" w:lineRule="auto"/>
        <w:ind w:left="720"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Zadavatel může vyloučit účastníka zadávacího řízení pro nezpůsobilost, pokud prokáže, že</w:t>
      </w:r>
    </w:p>
    <w:p w:rsidR="00000000" w:rsidDel="00000000" w:rsidP="00000000" w:rsidRDefault="00000000" w:rsidRPr="00000000" w14:paraId="0000004F">
      <w:pPr>
        <w:spacing w:after="24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plnění nabízené dodavatelem by vedlo k nedodržování povinností vyplývajících z předpisů práva životního prostředí, sociálních nebo pracovněprávních předpisů nebo kolektivních smluv vztahujících se k předmětu veřejné zakázky,</w:t>
      </w:r>
    </w:p>
    <w:p w:rsidR="00000000" w:rsidDel="00000000" w:rsidP="00000000" w:rsidRDefault="00000000" w:rsidRPr="00000000" w14:paraId="00000050">
      <w:pPr>
        <w:spacing w:after="24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došlo ke střetu zájmů a jiné opatření k nápravě, kromě zrušení zadávacího řízení, není možné,</w:t>
      </w:r>
    </w:p>
    <w:p w:rsidR="00000000" w:rsidDel="00000000" w:rsidP="00000000" w:rsidRDefault="00000000" w:rsidRPr="00000000" w14:paraId="00000051">
      <w:pPr>
        <w:spacing w:after="24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došlo k narušení hospodářské soutěže předchozí účastí účastníka zadávacího řízení při přípravě zadávacího řízení, jiné opatření k nápravě není možné a účastník zadávacího řízení na písemnou výzvu zadavatele neprokázal, že k narušení hospodářské soutěže nedošlo,</w:t>
      </w:r>
    </w:p>
    <w:p w:rsidR="00000000" w:rsidDel="00000000" w:rsidP="00000000" w:rsidRDefault="00000000" w:rsidRPr="00000000" w14:paraId="00000052">
      <w:pPr>
        <w:spacing w:after="24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se účastník zadávacího řízení dopustil v posledních 3 letech od zahájení zadávacího řízení závažných nebo dlouhodobých pochybení při plnění dřívějšího smluvního vztahu se zadavatelem zadávané veřejné zakázky, nebo s jiným veřejným zadavatelem, která vedla k vzniku škody, předčasnému ukončení smluvního vztahu nebo jiným srovnatelným sankcím,</w:t>
      </w:r>
    </w:p>
    <w:p w:rsidR="00000000" w:rsidDel="00000000" w:rsidP="00000000" w:rsidRDefault="00000000" w:rsidRPr="00000000" w14:paraId="00000053">
      <w:pPr>
        <w:spacing w:after="24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se účastník zadávacího řízení pokusil neoprávněně ovlivnit rozhodnutí zadavatele v zadávacím řízení nebo se neoprávněně pokusil o získání neveřejných informací, které by mu mohly zajistit neoprávněné výhody v zadávacím řízení, nebo</w:t>
      </w:r>
    </w:p>
    <w:p w:rsidR="00000000" w:rsidDel="00000000" w:rsidP="00000000" w:rsidRDefault="00000000" w:rsidRPr="00000000" w14:paraId="00000054">
      <w:pPr>
        <w:spacing w:after="24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se účastník zadávacího řízení dopustil v posledních 3 letech před zahájením zadávacího řízení nebo po zahájení zadávacího řízení závažného profesního pochybení, které zpochybňuje jeho důvěryhodnost, včetně pochybení, za která byl disciplinárně potrestán nebo mu bylo uloženo kárné opatření podle jiných právních předpisů</w:t>
      </w:r>
      <w:r w:rsidDel="00000000" w:rsidR="00000000" w:rsidRPr="00000000">
        <w:rPr>
          <w:rFonts w:ascii="Times New Roman" w:cs="Times New Roman" w:eastAsia="Times New Roman" w:hAnsi="Times New Roman"/>
          <w:vertAlign w:val="superscript"/>
          <w:rtl w:val="0"/>
        </w:rPr>
        <w:t xml:space="preserve">21)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5">
      <w:pPr>
        <w:spacing w:after="20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Zadavatel může vyloučit účastníka zadávacího řízení pro nezpůsobilost také, pokud na základě věrohodných informací získá důvodné podezření, že účastník zadávacího řízení</w:t>
      </w:r>
    </w:p>
    <w:p w:rsidR="00000000" w:rsidDel="00000000" w:rsidP="00000000" w:rsidRDefault="00000000" w:rsidRPr="00000000" w14:paraId="0000005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uzavřel s jinými osobami zakázanou dohodu podle zákona o ochraně hospodářské soutěže v souvislosti se zadávanou veřejnou zakázkou, nebo</w:t>
      </w:r>
    </w:p>
    <w:p w:rsidR="00000000" w:rsidDel="00000000" w:rsidP="00000000" w:rsidRDefault="00000000" w:rsidRPr="00000000" w14:paraId="0000005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části nabídek, které mají být hodnoceny podle kritérií hodnocení, připravoval ve vzájemné shodě s jiným účastníkem téhož zadávacího řízení, s nímž je spojenou osobou podle zákona o daních z příjmů, a na písemnou výzvu zadavatele účastník zadávacího řízení nevysvětlil, že k takové vzájemné shodě při přípravě nabídky nedošlo; písemná výzva zadavatele se považuje za žádost podle § 46.</w:t>
      </w:r>
    </w:p>
    <w:p w:rsidR="00000000" w:rsidDel="00000000" w:rsidP="00000000" w:rsidRDefault="00000000" w:rsidRPr="00000000" w14:paraId="00000058">
      <w:pPr>
        <w:spacing w:after="20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Zadavatel může vyloučit účastníka zadávacího řízení, který je akciovou společností nebo má právní formu obdobnou akciové společnosti a nemá vydány výlučně zaknihované akcie.</w:t>
      </w:r>
    </w:p>
    <w:p w:rsidR="00000000" w:rsidDel="00000000" w:rsidP="00000000" w:rsidRDefault="00000000" w:rsidRPr="00000000" w14:paraId="00000059">
      <w:pPr>
        <w:spacing w:after="200" w:before="200" w:line="276" w:lineRule="auto"/>
        <w:ind w:left="709"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Zadavatel</w:t>
      </w:r>
    </w:p>
    <w:p w:rsidR="00000000" w:rsidDel="00000000" w:rsidP="00000000" w:rsidRDefault="00000000" w:rsidRPr="00000000" w14:paraId="0000005A">
      <w:pPr>
        <w:spacing w:after="200" w:before="200" w:line="276" w:lineRule="auto"/>
        <w:ind w:left="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podle § 4 odst. 1 písm. a) až c),</w:t>
      </w:r>
    </w:p>
    <w:p w:rsidR="00000000" w:rsidDel="00000000" w:rsidP="00000000" w:rsidRDefault="00000000" w:rsidRPr="00000000" w14:paraId="0000005B">
      <w:pPr>
        <w:spacing w:after="200" w:before="200" w:line="276" w:lineRule="auto"/>
        <w:ind w:left="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podle § 4 odst. 1 písm. e), kterého jiný zadavatel podle § 4 odst. 1 písm. a), b) nebo c) převážně financuje, může v něm uplatňovat rozhodující vliv nebo jmenuje nebo volí více než polovinu členů v jeho statutárním nebo kontrolním orgánu, nebo</w:t>
      </w:r>
    </w:p>
    <w:p w:rsidR="00000000" w:rsidDel="00000000" w:rsidP="00000000" w:rsidRDefault="00000000" w:rsidRPr="00000000" w14:paraId="0000005C">
      <w:pPr>
        <w:spacing w:after="200" w:before="200" w:line="276" w:lineRule="auto"/>
        <w:ind w:left="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který zadává veřejnou zakázku podle § 151 odst. 2 písm. b), pokud nad ním přímo nebo nepřímo může uplatňovat dominantní vliv veřejný zadavatel podle písmene a) nebo b),</w:t>
      </w:r>
    </w:p>
    <w:p w:rsidR="00000000" w:rsidDel="00000000" w:rsidP="00000000" w:rsidRDefault="00000000" w:rsidRPr="00000000" w14:paraId="0000005D">
      <w:pPr>
        <w:spacing w:after="200" w:before="200" w:line="276" w:lineRule="auto"/>
        <w:ind w:left="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může vyloučit účastníka zadávacího řízení, pokud je jím člen vlády nebo vedoucí jiného ústředního správního úřadu, v jehož čele není člen vlády, nebo právnická osoba, jejímž je tento veřejný funkcionář skutečným majitelem; to platí i v případě, kdy je taková osoba poddodavatelem, prostřednictvím kterého dodavatel prokazuje kvalifikaci, pokud dodavatel na výzvu zadavatele poddodavatele v přiměřené lhůtě nenahradí.</w:t>
      </w:r>
    </w:p>
    <w:p w:rsidR="00000000" w:rsidDel="00000000" w:rsidP="00000000" w:rsidRDefault="00000000" w:rsidRPr="00000000" w14:paraId="0000005E">
      <w:pPr>
        <w:spacing w:after="200" w:before="200" w:line="276" w:lineRule="auto"/>
        <w:ind w:left="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Pro účely odstavce 8 se za právnickou osobu, jejímž je veřejný funkcionář podle odstavce 8 skutečným majitelem, považuje také právnická osoba, jestliže</w:t>
      </w:r>
    </w:p>
    <w:p w:rsidR="00000000" w:rsidDel="00000000" w:rsidP="00000000" w:rsidRDefault="00000000" w:rsidRPr="00000000" w14:paraId="0000005F">
      <w:pPr>
        <w:spacing w:after="200" w:before="200" w:line="276" w:lineRule="auto"/>
        <w:ind w:left="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je v ní prostřednictvím svěřenského fondu nebo obdobného právního uspořádání držena účast, uplatňováno právo na podíl na zisku, jiných vlastních zdrojích nebo likvidačním zůstatku nebo uplatňován rozhodující vliv, a</w:t>
      </w:r>
    </w:p>
    <w:p w:rsidR="00000000" w:rsidDel="00000000" w:rsidP="00000000" w:rsidRDefault="00000000" w:rsidRPr="00000000" w14:paraId="00000060">
      <w:pPr>
        <w:spacing w:after="200" w:before="200" w:line="276" w:lineRule="auto"/>
        <w:ind w:left="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před vložením, vyčleněním, převodem nebo jiným svěřením do správy byl tím, komu účast, právo nebo rozhodující vliv podle písmene a) přímo nebo nepřímo náležely, veřejný funkcionář podle odstavce 8 nebo osoba jím ovládaná.</w:t>
      </w:r>
    </w:p>
    <w:p w:rsidR="00000000" w:rsidDel="00000000" w:rsidP="00000000" w:rsidRDefault="00000000" w:rsidRPr="00000000" w14:paraId="00000061">
      <w:pPr>
        <w:spacing w:after="20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trike w:val="1"/>
          <w:rtl w:val="0"/>
        </w:rPr>
        <w:t xml:space="preserve">(8)</w:t>
      </w:r>
      <w:r w:rsidDel="00000000" w:rsidR="00000000" w:rsidRPr="00000000">
        <w:rPr>
          <w:rFonts w:ascii="Times New Roman" w:cs="Times New Roman" w:eastAsia="Times New Roman" w:hAnsi="Times New Roman"/>
          <w:b w:val="1"/>
          <w:bCs w:val="1"/>
          <w:rtl w:val="0"/>
        </w:rPr>
        <w:t xml:space="preserve">(10)</w:t>
      </w:r>
      <w:r w:rsidDel="00000000" w:rsidR="00000000" w:rsidRPr="00000000">
        <w:rPr>
          <w:rFonts w:ascii="Times New Roman" w:cs="Times New Roman" w:eastAsia="Times New Roman" w:hAnsi="Times New Roman"/>
          <w:rtl w:val="0"/>
        </w:rPr>
        <w:t xml:space="preserve"> Vybraného dodavatele zadavatel vyloučí z účasti v zadávacím řízení, pokud zjistí, že jsou naplněny důvody vyloučení podle odstavce 2</w:t>
      </w:r>
      <w:r w:rsidDel="00000000" w:rsidR="00000000" w:rsidRPr="00000000">
        <w:rPr>
          <w:rFonts w:ascii="Times New Roman" w:cs="Times New Roman" w:eastAsia="Times New Roman" w:hAnsi="Times New Roman"/>
          <w:b w:val="1"/>
          <w:bCs w:val="1"/>
          <w:rtl w:val="0"/>
        </w:rPr>
        <w:t xml:space="preserve"> nebo 8</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nebo může prokázat naplnění důvodů podle odstavce 3 písm. b) nebo odstavce 5 písm. a) až c) nebo pokud zjistí, že jsou naplněny důvody pro povinné vyloučení nebo povinné odmítnutí nabídky nebo žádosti o účast podle přímo použitelného předpisu Evropské unie.</w:t>
      </w:r>
    </w:p>
    <w:p w:rsidR="00000000" w:rsidDel="00000000" w:rsidP="00000000" w:rsidRDefault="00000000" w:rsidRPr="00000000" w14:paraId="00000062">
      <w:pPr>
        <w:spacing w:after="20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trike w:val="1"/>
          <w:rtl w:val="0"/>
        </w:rPr>
        <w:t xml:space="preserve">(9)</w:t>
      </w:r>
      <w:r w:rsidDel="00000000" w:rsidR="00000000" w:rsidRPr="00000000">
        <w:rPr>
          <w:rFonts w:ascii="Times New Roman" w:cs="Times New Roman" w:eastAsia="Times New Roman" w:hAnsi="Times New Roman"/>
          <w:b w:val="1"/>
          <w:bCs w:val="1"/>
          <w:rtl w:val="0"/>
        </w:rPr>
        <w:t xml:space="preserve">(11)</w:t>
      </w:r>
      <w:r w:rsidDel="00000000" w:rsidR="00000000" w:rsidRPr="00000000">
        <w:rPr>
          <w:rFonts w:ascii="Times New Roman" w:cs="Times New Roman" w:eastAsia="Times New Roman" w:hAnsi="Times New Roman"/>
          <w:rtl w:val="0"/>
        </w:rPr>
        <w:t xml:space="preserve"> Zadavatel u vybraného dodavatele ověří naplnění důvodu pro vyloučení podle odstavce 7 na základě informací vedených v obchodním rejstříku. Pokud z informací vedených v obchodním rejstříku vyplývá naplnění důvodu pro vyloučení podle odstavce 7, zadavatel účastníka zadávacího řízení vyloučí ze zadávacího řízení. Vybraného dodavatele se sídlem v zahraničí, který je akciovou společností nebo má právní formu obdobnou akciové společnosti, zadavatel požádá, aby v přiměřené lhůtě předložil písemné čestné prohlášení o tom, které osoby jsou vlastníky akcií, jejichž souhrnná jmenovitá hodnota přesahuje 10 % základního kapitálu účastníka zadávacího řízení, s uvedením zdroje, z něhož údaje o velikosti podílu akcionářů vychází; tato žádost se považuje za žádost podle § 46.</w:t>
      </w:r>
    </w:p>
    <w:p w:rsidR="00000000" w:rsidDel="00000000" w:rsidP="00000000" w:rsidRDefault="00000000" w:rsidRPr="00000000" w14:paraId="00000063">
      <w:pPr>
        <w:spacing w:after="20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trike w:val="1"/>
          <w:rtl w:val="0"/>
        </w:rPr>
        <w:t xml:space="preserve">(10)</w:t>
      </w:r>
      <w:r w:rsidDel="00000000" w:rsidR="00000000" w:rsidRPr="00000000">
        <w:rPr>
          <w:rFonts w:ascii="Times New Roman" w:cs="Times New Roman" w:eastAsia="Times New Roman" w:hAnsi="Times New Roman"/>
          <w:b w:val="1"/>
          <w:bCs w:val="1"/>
          <w:rtl w:val="0"/>
        </w:rPr>
        <w:t xml:space="preserve">(12)</w:t>
      </w:r>
      <w:r w:rsidDel="00000000" w:rsidR="00000000" w:rsidRPr="00000000">
        <w:rPr>
          <w:rFonts w:ascii="Times New Roman" w:cs="Times New Roman" w:eastAsia="Times New Roman" w:hAnsi="Times New Roman"/>
          <w:rtl w:val="0"/>
        </w:rPr>
        <w:t xml:space="preserve"> Ustanovení odstavců 7 a </w:t>
      </w:r>
      <w:r w:rsidDel="00000000" w:rsidR="00000000" w:rsidRPr="00000000">
        <w:rPr>
          <w:rFonts w:ascii="Times New Roman" w:cs="Times New Roman" w:eastAsia="Times New Roman" w:hAnsi="Times New Roman"/>
          <w:strike w:val="1"/>
          <w:rtl w:val="0"/>
        </w:rPr>
        <w:t xml:space="preserve">9</w:t>
      </w:r>
      <w:r w:rsidDel="00000000" w:rsidR="00000000" w:rsidRPr="00000000">
        <w:rPr>
          <w:rFonts w:ascii="Times New Roman" w:cs="Times New Roman" w:eastAsia="Times New Roman" w:hAnsi="Times New Roman"/>
          <w:b w:val="1"/>
          <w:bCs w:val="1"/>
          <w:rtl w:val="0"/>
        </w:rPr>
        <w:t xml:space="preserve">11</w:t>
      </w:r>
      <w:r w:rsidDel="00000000" w:rsidR="00000000" w:rsidRPr="00000000">
        <w:rPr>
          <w:rFonts w:ascii="Times New Roman" w:cs="Times New Roman" w:eastAsia="Times New Roman" w:hAnsi="Times New Roman"/>
          <w:rtl w:val="0"/>
        </w:rPr>
        <w:t xml:space="preserve"> se nepoužije pro účastníka zadávacího řízení, pokud se jedná o akciovou společnost, jejíž akcie v souhrnné jmenovité hodnotě 100 % základního kapitálu jsou ve vlastnictví státu, obce nebo kraje.</w:t>
      </w:r>
    </w:p>
    <w:p w:rsidR="00000000" w:rsidDel="00000000" w:rsidP="00000000" w:rsidRDefault="00000000" w:rsidRPr="00000000" w14:paraId="00000064">
      <w:pPr>
        <w:spacing w:after="20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trike w:val="1"/>
          <w:rtl w:val="0"/>
        </w:rPr>
        <w:t xml:space="preserve">(11)</w:t>
      </w:r>
      <w:r w:rsidDel="00000000" w:rsidR="00000000" w:rsidRPr="00000000">
        <w:rPr>
          <w:rFonts w:ascii="Times New Roman" w:cs="Times New Roman" w:eastAsia="Times New Roman" w:hAnsi="Times New Roman"/>
          <w:b w:val="1"/>
          <w:bCs w:val="1"/>
          <w:rtl w:val="0"/>
        </w:rPr>
        <w:t xml:space="preserve">(13)</w:t>
      </w:r>
      <w:r w:rsidDel="00000000" w:rsidR="00000000" w:rsidRPr="00000000">
        <w:rPr>
          <w:rFonts w:ascii="Times New Roman" w:cs="Times New Roman" w:eastAsia="Times New Roman" w:hAnsi="Times New Roman"/>
          <w:rtl w:val="0"/>
        </w:rPr>
        <w:t xml:space="preserve"> Zadavatel odešle bezodkladně účastníkovi zadávacího řízení oznámení o jeho vyloučení s odůvodněním.</w:t>
      </w:r>
    </w:p>
    <w:p w:rsidR="00000000" w:rsidDel="00000000" w:rsidP="00000000" w:rsidRDefault="00000000" w:rsidRPr="00000000" w14:paraId="0000006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67</w:t>
      </w:r>
    </w:p>
    <w:p w:rsidR="00000000" w:rsidDel="00000000" w:rsidP="00000000" w:rsidRDefault="00000000" w:rsidRPr="00000000" w14:paraId="00000067">
      <w:pPr>
        <w:spacing w:after="240" w:before="24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Postup v řízení</w:t>
      </w:r>
    </w:p>
    <w:p w:rsidR="00000000" w:rsidDel="00000000" w:rsidP="00000000" w:rsidRDefault="00000000" w:rsidRPr="00000000" w14:paraId="00000068">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Zadavatel zahajuje jednací řízení bez uveřejnění odesláním výzvy k jednání, výzvy k podání nabídek nebo zahájením jednání s dodavatelem.</w:t>
      </w:r>
    </w:p>
    <w:p w:rsidR="00000000" w:rsidDel="00000000" w:rsidP="00000000" w:rsidRDefault="00000000" w:rsidRPr="00000000" w14:paraId="00000069">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 jednacím řízení bez uveřejnění jedná zadavatel o uzavření smlouvy. Zadavatel může v průběhu jednání měnit nebo doplnit zadávací podmínky. Změněné nebo doplněné zadávací podmínky však musí nadále splňovat podmínky pro použití jednacího řízení bez uveřejnění.</w:t>
      </w:r>
    </w:p>
    <w:p w:rsidR="00000000" w:rsidDel="00000000" w:rsidP="00000000" w:rsidRDefault="00000000" w:rsidRPr="00000000" w14:paraId="0000006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V případě jednacího řízení bez uveřejnění na dodávky kupované na komoditní burze podle § 64 písm. c) se § 42 odst. 2, § 50, § 122 odst. 1 až 4 a 7 a 8, § 123 a § 217 odst. 2 písm. c) a d) nepoužijí; zadavatel nemusí postupovat podle § 48 odst. </w:t>
      </w:r>
      <w:r w:rsidDel="00000000" w:rsidR="00000000" w:rsidRPr="00000000">
        <w:rPr>
          <w:rFonts w:ascii="Times New Roman" w:cs="Times New Roman" w:eastAsia="Times New Roman" w:hAnsi="Times New Roman"/>
          <w:strike w:val="1"/>
          <w:rtl w:val="0"/>
        </w:rPr>
        <w:t xml:space="preserve">9</w:t>
      </w:r>
      <w:r w:rsidDel="00000000" w:rsidR="00000000" w:rsidRPr="00000000">
        <w:rPr>
          <w:rFonts w:ascii="Times New Roman" w:cs="Times New Roman" w:eastAsia="Times New Roman" w:hAnsi="Times New Roman"/>
          <w:b w:val="1"/>
          <w:bCs w:val="1"/>
          <w:rtl w:val="0"/>
        </w:rPr>
        <w:t xml:space="preserve">11</w:t>
      </w:r>
      <w:r w:rsidDel="00000000" w:rsidR="00000000" w:rsidRPr="00000000">
        <w:rPr>
          <w:rFonts w:ascii="Times New Roman" w:cs="Times New Roman" w:eastAsia="Times New Roman" w:hAnsi="Times New Roman"/>
          <w:rtl w:val="0"/>
        </w:rPr>
        <w:t xml:space="preserve">, § 73, § 86 nebo § 122 odst. 5 a 6, pokud komoditní burza získá před zahájením burzovního shromáždění</w:t>
      </w:r>
    </w:p>
    <w:p w:rsidR="00000000" w:rsidDel="00000000" w:rsidP="00000000" w:rsidRDefault="00000000" w:rsidRPr="00000000" w14:paraId="0000006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údaje o zaknihování akcií nebo čestné prohlášení o vlastnících akcií v rozsahu podle § 48 odst. </w:t>
      </w:r>
      <w:r w:rsidDel="00000000" w:rsidR="00000000" w:rsidRPr="00000000">
        <w:rPr>
          <w:rFonts w:ascii="Times New Roman" w:cs="Times New Roman" w:eastAsia="Times New Roman" w:hAnsi="Times New Roman"/>
          <w:strike w:val="1"/>
          <w:rtl w:val="0"/>
        </w:rPr>
        <w:t xml:space="preserve">9</w:t>
      </w:r>
      <w:r w:rsidDel="00000000" w:rsidR="00000000" w:rsidRPr="00000000">
        <w:rPr>
          <w:rFonts w:ascii="Times New Roman" w:cs="Times New Roman" w:eastAsia="Times New Roman" w:hAnsi="Times New Roman"/>
          <w:b w:val="1"/>
          <w:bCs w:val="1"/>
          <w:rtl w:val="0"/>
        </w:rPr>
        <w:t xml:space="preserve">11</w:t>
      </w:r>
      <w:r w:rsidDel="00000000" w:rsidR="00000000" w:rsidRPr="00000000">
        <w:rPr>
          <w:rFonts w:ascii="Times New Roman" w:cs="Times New Roman" w:eastAsia="Times New Roman" w:hAnsi="Times New Roman"/>
          <w:rtl w:val="0"/>
        </w:rPr>
        <w:t xml:space="preserve">, je-li akciovou společností nebo má formu obdobnou akciové společnosti,</w:t>
      </w:r>
    </w:p>
    <w:p w:rsidR="00000000" w:rsidDel="00000000" w:rsidP="00000000" w:rsidRDefault="00000000" w:rsidRPr="00000000" w14:paraId="0000006C">
      <w:pPr>
        <w:spacing w:after="240" w:before="240" w:lineRule="auto"/>
        <w:ind w:firstLine="720"/>
        <w:jc w:val="both"/>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rtl w:val="0"/>
        </w:rPr>
        <w:t xml:space="preserve">b) údaje nebo doklady o kvalifikaci účastníků zadávacího řízení v rozsahu podle § 73 a 86, a c) údaje nebo doklady o skutečném majiteli v rozsahu podle § 122 odst. 5, je-li českou právnickou osobou, nebo v rozsahu podle § 122 odst. 6, je-li zahraniční právnickou osobou.</w:t>
      </w:r>
      <w:r w:rsidDel="00000000" w:rsidR="00000000" w:rsidRPr="00000000">
        <w:rPr>
          <w:rtl w:val="0"/>
        </w:rPr>
      </w:r>
    </w:p>
    <w:p w:rsidR="00000000" w:rsidDel="00000000" w:rsidP="00000000" w:rsidRDefault="00000000" w:rsidRPr="00000000" w14:paraId="0000006D">
      <w:pPr>
        <w:spacing w:after="24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spacing w:after="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PLATNÉ ZNĚNÍ ZÁKONA Č. 159/2006 Sb., O STŘETU ZÁJMŮ S VYZNAČENÍM NAVRHOVANÝCH ZMĚN A DOPLNĚNÍ</w:t>
      </w:r>
    </w:p>
    <w:p w:rsidR="00000000" w:rsidDel="00000000" w:rsidP="00000000" w:rsidRDefault="00000000" w:rsidRPr="00000000" w14:paraId="0000006F">
      <w:pPr>
        <w:spacing w:after="200" w:before="200" w:line="276" w:lineRule="auto"/>
        <w:jc w:val="center"/>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strike w:val="1"/>
          <w:rtl w:val="0"/>
        </w:rPr>
        <w:t xml:space="preserve">§ 4b</w:t>
      </w:r>
    </w:p>
    <w:p w:rsidR="00000000" w:rsidDel="00000000" w:rsidP="00000000" w:rsidRDefault="00000000" w:rsidRPr="00000000" w14:paraId="00000070">
      <w:pPr>
        <w:spacing w:after="200" w:before="200" w:line="276"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trike w:val="1"/>
          <w:rtl w:val="0"/>
        </w:rPr>
        <w:t xml:space="preserve">Obchodní společnost, ve které veřejný funkcionář uvedený v § 2 odst. 1 písm. c) nebo jím ovládaná osoba vlastní podíl představující alespoň 25 % účasti společníka v obchodní společnosti, se nesmí účastnit zadávacích řízení podle zákona upravujícího zadávání veřejných zakázek jako účastník nebo poddodavatel, prostřednictvím kterého dodavatel prokazuje kvalifikaci. Zadavatel je povinen takovou obchodní společnost vyloučit ze zadávacího řízení. Zadavatel nesmí obchodní společnosti uvedené ve větě první zadat veřejnou zakázku malého rozsahu, takové jednání je neplatné.</w:t>
      </w: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ade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adea" w:cs="Caladea" w:eastAsia="Caladea" w:hAnsi="Caladea"/>
        <w:sz w:val="24"/>
        <w:szCs w:val="24"/>
        <w:lang w:val="cs-CZ"/>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sz w:val="48"/>
      <w:szCs w:val="48"/>
    </w:rPr>
  </w:style>
  <w:style w:type="paragraph" w:styleId="Heading2">
    <w:name w:val="heading 2"/>
    <w:basedOn w:val="Normal"/>
    <w:next w:val="Normal"/>
    <w:pPr>
      <w:keepNext w:val="1"/>
      <w:keepLines w:val="1"/>
      <w:spacing w:after="80" w:before="360" w:lineRule="auto"/>
    </w:pPr>
    <w:rPr>
      <w:sz w:val="36"/>
      <w:szCs w:val="36"/>
    </w:rPr>
  </w:style>
  <w:style w:type="paragraph" w:styleId="Heading3">
    <w:name w:val="heading 3"/>
    <w:basedOn w:val="Normal"/>
    <w:next w:val="Normal"/>
    <w:pPr>
      <w:keepNext w:val="1"/>
      <w:keepLines w:val="1"/>
      <w:spacing w:after="80" w:before="280" w:lineRule="auto"/>
    </w:pPr>
    <w:rPr>
      <w:sz w:val="28"/>
      <w:szCs w:val="28"/>
    </w:rPr>
  </w:style>
  <w:style w:type="paragraph" w:styleId="Heading4">
    <w:name w:val="heading 4"/>
    <w:basedOn w:val="Normal"/>
    <w:next w:val="Normal"/>
    <w:pPr>
      <w:keepNext w:val="1"/>
      <w:keepLines w:val="1"/>
      <w:spacing w:after="40" w:before="240" w:lineRule="auto"/>
    </w:pPr>
    <w:rPr/>
  </w:style>
  <w:style w:type="paragraph" w:styleId="Heading5">
    <w:name w:val="heading 5"/>
    <w:basedOn w:val="Normal"/>
    <w:next w:val="Normal"/>
    <w:pPr>
      <w:keepNext w:val="1"/>
      <w:keepLines w:val="1"/>
      <w:spacing w:after="40" w:before="220" w:lineRule="auto"/>
    </w:pPr>
    <w:rPr>
      <w:sz w:val="22"/>
      <w:szCs w:val="22"/>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ladea-regular.ttf"/><Relationship Id="rId2" Type="http://schemas.openxmlformats.org/officeDocument/2006/relationships/font" Target="fonts/Caladea-bold.ttf"/><Relationship Id="rId3" Type="http://schemas.openxmlformats.org/officeDocument/2006/relationships/font" Target="fonts/Caladea-italic.ttf"/><Relationship Id="rId4" Type="http://schemas.openxmlformats.org/officeDocument/2006/relationships/font" Target="fonts/Calade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