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37F30" w14:textId="77777777" w:rsidR="00924762" w:rsidRDefault="00303190">
      <w:pPr>
        <w:keepNext/>
        <w:widowControl w:val="0"/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PARLAMENT ČESKÉ REPUBLIKY</w:t>
      </w:r>
    </w:p>
    <w:p w14:paraId="4DE37F31" w14:textId="77777777" w:rsidR="00924762" w:rsidRDefault="00303190">
      <w:pPr>
        <w:widowControl w:val="0"/>
        <w:tabs>
          <w:tab w:val="center" w:pos="4536"/>
          <w:tab w:val="right" w:pos="9072"/>
        </w:tabs>
        <w:spacing w:before="200" w:after="20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Poslanecká sněmovna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4DE37F32" w14:textId="77777777" w:rsidR="00924762" w:rsidRDefault="00303190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2026</w:t>
      </w:r>
    </w:p>
    <w:p w14:paraId="4DE37F33" w14:textId="77777777" w:rsidR="00924762" w:rsidRDefault="00303190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X. volební období</w:t>
      </w:r>
    </w:p>
    <w:p w14:paraId="4DE37F34" w14:textId="77777777" w:rsidR="00924762" w:rsidRDefault="00303190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</w:t>
      </w:r>
    </w:p>
    <w:p w14:paraId="4DE37F35" w14:textId="77777777" w:rsidR="00924762" w:rsidRDefault="00924762">
      <w:pPr>
        <w:widowControl w:val="0"/>
        <w:spacing w:before="200" w:after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E37F36" w14:textId="77777777" w:rsidR="00924762" w:rsidRDefault="00924762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E37F37" w14:textId="77777777" w:rsidR="00924762" w:rsidRDefault="00303190">
      <w:pPr>
        <w:keepNext/>
        <w:keepLines/>
        <w:widowControl w:val="0"/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Pozměňovací návrh </w:t>
      </w:r>
    </w:p>
    <w:p w14:paraId="4DE37F38" w14:textId="77777777" w:rsidR="00924762" w:rsidRDefault="00303190">
      <w:pPr>
        <w:keepNext/>
        <w:keepLines/>
        <w:widowControl w:val="0"/>
        <w:spacing w:before="240" w:after="2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poslankyň a poslanců</w:t>
      </w:r>
    </w:p>
    <w:p w14:paraId="4DE37F39" w14:textId="6522BA6B" w:rsidR="00924762" w:rsidRDefault="00303190">
      <w:pPr>
        <w:keepNext/>
        <w:keepLines/>
        <w:widowControl w:val="0"/>
        <w:spacing w:before="240"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Gabriely Svárovské, Ireny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Ferčíkové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Konečné, Petra Hladíka, Bohuslava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Niemiece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Jany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Krutákové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Andrey Hoffmannové, Veroniky Kovářové a Ivana Bartoše </w:t>
      </w:r>
    </w:p>
    <w:p w14:paraId="4DE37F3A" w14:textId="77777777" w:rsidR="00924762" w:rsidRDefault="00924762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E37F3B" w14:textId="77777777" w:rsidR="00924762" w:rsidRDefault="00303190">
      <w:pPr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 komplexnímu pozměňovacímu návrhu uvedenému v usnesení hospodářského výboru č. 55 ze dne 30. dubna 2026 k</w:t>
      </w:r>
    </w:p>
    <w:p w14:paraId="4DE37F3C" w14:textId="77777777" w:rsidR="00924762" w:rsidRDefault="00303190">
      <w:pPr>
        <w:spacing w:before="200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[k návrhu poslanců Andreje Babiše, Karla Havlíčka, Tomia Okamury, Petra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Macinky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Aleny Schillerové, Zuzany Schwarz Bařtipánové, Radima Fialy, Borise Šťastného, Vojtěcha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Krňanského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Marie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Pošarové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 vydání zákona, kterým se mění zákon č. 283/2021 Sb., stavební zákon, ve znění pozdějších předpisů, a některé další související zákony]</w:t>
      </w:r>
    </w:p>
    <w:p w14:paraId="4DE37F3D" w14:textId="77777777" w:rsidR="00924762" w:rsidRDefault="00303190">
      <w:pPr>
        <w:spacing w:before="200"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</w:p>
    <w:p w14:paraId="4DE37F3E" w14:textId="77777777" w:rsidR="00924762" w:rsidRDefault="00303190">
      <w:pPr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 67/11</w:t>
      </w:r>
    </w:p>
    <w:p w14:paraId="4DE37F3F" w14:textId="77777777" w:rsidR="00924762" w:rsidRDefault="00924762">
      <w:pPr>
        <w:widowControl w:val="0"/>
        <w:spacing w:before="200" w:after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E37F40" w14:textId="77777777" w:rsidR="00924762" w:rsidRDefault="00924762">
      <w:pPr>
        <w:widowControl w:val="0"/>
        <w:spacing w:before="200" w:after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E37F41" w14:textId="77777777" w:rsidR="00924762" w:rsidRDefault="00924762">
      <w:pPr>
        <w:widowControl w:val="0"/>
        <w:spacing w:before="200" w:after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E37F42" w14:textId="77777777" w:rsidR="00924762" w:rsidRDefault="00303190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Datum: </w:t>
      </w:r>
      <w:r>
        <w:rPr>
          <w:rFonts w:ascii="Times New Roman" w:eastAsia="Times New Roman" w:hAnsi="Times New Roman" w:cs="Times New Roman"/>
          <w:sz w:val="24"/>
          <w:szCs w:val="24"/>
        </w:rPr>
        <w:t>27. 5. 2026</w:t>
      </w:r>
      <w:r>
        <w:br w:type="page"/>
      </w:r>
    </w:p>
    <w:p w14:paraId="4DE37F43" w14:textId="77777777" w:rsidR="00924762" w:rsidRDefault="00303190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 části první v Čl. I komplexního pozměňovacího návrhu uvedeného v usnesení hospodářského výboru č. 55 ze dne 30. dubna 2026 k návrhu poslanců Andreje Babiše, Karla Havlíčka, Tomia Okamury, Petra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Macinky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Aleny Schillerové, Zuzany Schwarz Bařtipánové, Radima Fialy, Borise Šťastného, Vojtěcha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Krňanského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Marie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Pošarové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 vydání zákona, kterým se mění zákon č. 283/2021 Sb., stavební zákon, ve znění pozdějších předpisů, a některé další související zákony (sněmovní tisk 67/11), se bod 235 zrušuje.</w:t>
      </w:r>
    </w:p>
    <w:p w14:paraId="4DE37F44" w14:textId="77777777" w:rsidR="00924762" w:rsidRDefault="00303190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Dosavadní body se přečíslují.</w:t>
      </w:r>
    </w:p>
    <w:p w14:paraId="4DE37F45" w14:textId="77777777" w:rsidR="00924762" w:rsidRDefault="00303190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DE37F46" w14:textId="77777777" w:rsidR="00924762" w:rsidRDefault="00303190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 d ů v o d n ě n í</w:t>
      </w:r>
    </w:p>
    <w:p w14:paraId="4DE37F47" w14:textId="77777777" w:rsidR="00924762" w:rsidRDefault="00303190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Komplexní pozměňovací návrh v části první v čl. I bodu 235 navrhuje zrušit § 108 odst. 4 stavebního zákona. Toto ustanovení v současném znění stanoví, že jedná-li se o změnu územního plánu, lze další zastavitelné plochy touto změnou vymezit pouze na základě prokázání potřeby vymezení nových zastavitelných ploch.</w:t>
      </w:r>
    </w:p>
    <w:p w14:paraId="4DE37F48" w14:textId="77777777" w:rsidR="00924762" w:rsidRDefault="00303190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Smyslem navrženého pozměňovacího návrhu je zachovat tuto základní pojistku hospodárného využívání území. Pravidlo obsažené v § 108 odst. 4 není samoúčelným administrativním požadavkem, ale vyjadřuje jednu ze základních priorit územního plánování, a to přednostně využívat již vymezené zastavitelné plochy a teprve při prokázané potřebě otevírat další plochy pro zástavbu.</w:t>
      </w:r>
    </w:p>
    <w:p w14:paraId="4DE37F49" w14:textId="77777777" w:rsidR="00924762" w:rsidRDefault="00303190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Vypuštění tohoto pravidla by oslabilo požadavek na racionální a odůvodněné rozšiřování zastavitelných ploch. V praxi by mohlo vést k jednoduššímu vymezování nových zastavitelných ploch i v situaci, kdy dosud vymezené zastavitelné území není dostatečně využito. Tím by se zvyšoval tlak na extenzivní rozvoj sídel, zábor volné krajiny, zemědělské půdy a dalších hodnot území, aniž by bylo nutné nejprve věcně prokázat potřebu takového rozšíření.</w:t>
      </w:r>
    </w:p>
    <w:p w14:paraId="4DE37F4A" w14:textId="77777777" w:rsidR="00924762" w:rsidRDefault="00303190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Zachování § 108 odst. 4 zároveň nenarušuje možnost obcí rozvíjet své území. Nezakazuje vymezování nových zastavitelných ploch, pouze požaduje, aby takový krok byl při změně územního plánu odůvodněn potřebou jejich vymezení. Jde tedy o přiměřený nástroj, který ponechává obcím prostor pro rozvoj, ale současně vyžaduje, aby tento rozvoj probíhal na základě věcně odůvodněné urbanistické potřeby.</w:t>
      </w:r>
    </w:p>
    <w:p w14:paraId="4DE37F4B" w14:textId="77777777" w:rsidR="00924762" w:rsidRDefault="00303190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Pozměňovací návrh je rovněž v souladu s cíli územního plánování, zejména s požadavkem na udržitelný rozvoj území, hospodárné využívání zastavitelného území, vytváření kompaktních sídel a ochranu nezastavitelného území. Pravidlo prokazování potřeby nových zastavitelných ploch je jedním z praktických nástrojů, jak tyto cíle naplňovat v procesu změn územních plánů.</w:t>
      </w:r>
    </w:p>
    <w:p w14:paraId="4DE37F4C" w14:textId="77777777" w:rsidR="00924762" w:rsidRDefault="00303190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Navržené zrušení novelizačního bodu 235 komplexního pozměňovacího návrhu proto zachovává dosavadní právní úpravu § 108 odst. 4 stavebního zákona. Tím brání oslabení preference využití stávajících zastavitelných ploch a podporuje předvídatelné, úsporné a udržitelné nakládání s územím.</w:t>
      </w:r>
    </w:p>
    <w:p w14:paraId="4DE37F4D" w14:textId="77777777" w:rsidR="00924762" w:rsidRDefault="00303190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Pozměňovací návrh je legislativně technicky jednoduchý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projednatelný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neboť se omezuje na vypuštění jednoho novelizačního bodu komplexního pozměňovacího návrhu a na související přečíslování následujících bodů v části první čl. I.</w:t>
      </w:r>
      <w:r>
        <w:br w:type="page"/>
      </w:r>
    </w:p>
    <w:p w14:paraId="4DE37F4E" w14:textId="77777777" w:rsidR="00924762" w:rsidRDefault="0030319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lastRenderedPageBreak/>
        <w:t xml:space="preserve">Platné znění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zákona č. 283/2021 Sb., stavební zákon,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ve znění pozdějších předpisů, s vyznačením navrhovaných změn a doplnění </w:t>
      </w:r>
    </w:p>
    <w:p w14:paraId="4DE37F4F" w14:textId="77777777" w:rsidR="00924762" w:rsidRDefault="00303190">
      <w:pPr>
        <w:spacing w:before="200"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[změny provedené komplexním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pozměńovacím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návrhem zákona ČERNĚ, změny provedené pozměňovacím návrhem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ČERVENĚ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]</w:t>
      </w:r>
    </w:p>
    <w:p w14:paraId="4DE37F50" w14:textId="77777777" w:rsidR="00924762" w:rsidRDefault="00924762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E37F51" w14:textId="77777777" w:rsidR="00924762" w:rsidRDefault="00303190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Oddíl</w:t>
      </w:r>
      <w:r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  <w:t xml:space="preserve"> 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</w:p>
    <w:p w14:paraId="4DE37F52" w14:textId="77777777" w:rsidR="00924762" w:rsidRDefault="00303190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Změna územně plánovací dokumentace</w:t>
      </w:r>
    </w:p>
    <w:p w14:paraId="4DE37F53" w14:textId="77777777" w:rsidR="00924762" w:rsidRDefault="00303190">
      <w:pPr>
        <w:spacing w:before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§ 108</w:t>
      </w:r>
    </w:p>
    <w:p w14:paraId="4DE37F54" w14:textId="77777777" w:rsidR="00924762" w:rsidRDefault="00303190">
      <w:pPr>
        <w:spacing w:before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Obecná ustanovení</w:t>
      </w:r>
    </w:p>
    <w:p w14:paraId="4DE37F55" w14:textId="77777777" w:rsidR="00924762" w:rsidRDefault="00303190">
      <w:pPr>
        <w:spacing w:before="120"/>
        <w:ind w:firstLine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(1) Změna územně plánovací dokumentace se zpracovává, projednává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schvaluje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vydává v rozsahu měněných částí.</w:t>
      </w:r>
    </w:p>
    <w:p w14:paraId="4DE37F56" w14:textId="77777777" w:rsidR="00924762" w:rsidRDefault="00303190">
      <w:pPr>
        <w:spacing w:before="120"/>
        <w:ind w:firstLine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(2) Pořizovatel po </w:t>
      </w:r>
      <w:r>
        <w:rPr>
          <w:rFonts w:ascii="Times New Roman" w:eastAsia="Times New Roman" w:hAnsi="Times New Roman" w:cs="Times New Roman"/>
          <w:strike/>
          <w:sz w:val="24"/>
          <w:szCs w:val="24"/>
        </w:rPr>
        <w:t>vydání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schválení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změny územně plánovací dokumentace zajistí zpracování úplného znění a změnu územně plánovací dokumentace i její úplné znění </w:t>
      </w:r>
      <w:r>
        <w:rPr>
          <w:rFonts w:ascii="Times New Roman" w:eastAsia="Times New Roman" w:hAnsi="Times New Roman" w:cs="Times New Roman"/>
          <w:strike/>
          <w:sz w:val="24"/>
          <w:szCs w:val="24"/>
        </w:rPr>
        <w:t>vloží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vydá vložením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do národního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geoportálu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územního plánování.</w:t>
      </w:r>
    </w:p>
    <w:p w14:paraId="4DE37F57" w14:textId="77777777" w:rsidR="00924762" w:rsidRDefault="00303190">
      <w:pPr>
        <w:spacing w:before="120"/>
        <w:ind w:firstLine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(3) </w:t>
      </w:r>
      <w:r>
        <w:rPr>
          <w:rFonts w:ascii="Times New Roman" w:eastAsia="Times New Roman" w:hAnsi="Times New Roman" w:cs="Times New Roman"/>
          <w:strike/>
          <w:sz w:val="24"/>
          <w:szCs w:val="24"/>
        </w:rPr>
        <w:t>Změnu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Informaci o změně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územně plánovací dokumentace</w:t>
      </w:r>
      <w:r>
        <w:rPr>
          <w:rFonts w:ascii="Times New Roman" w:eastAsia="Times New Roman" w:hAnsi="Times New Roman" w:cs="Times New Roman"/>
          <w:strike/>
          <w:sz w:val="24"/>
          <w:szCs w:val="24"/>
        </w:rPr>
        <w:t>, úplné znění územně plánovací dokumentace po této změně a adresy jejich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adresu jejího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uložení v národním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geoportálu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územního plánování oznámí pořizovatel veřejnou vyhláškou; dnem doručení veřejné vyhlášky nabývá změna účinnosti.</w:t>
      </w:r>
    </w:p>
    <w:p w14:paraId="4DE37F58" w14:textId="77777777" w:rsidR="00924762" w:rsidRDefault="00303190">
      <w:pPr>
        <w:spacing w:before="120"/>
        <w:ind w:firstLine="20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(4) Jedná-li se o změnu územního plánu, lze další zastavitelné plochy touto změnou vymezit pouze na základě prokázání potřeby vymezení nových zastavitelných ploch.</w:t>
      </w:r>
    </w:p>
    <w:p w14:paraId="4DE37F59" w14:textId="77777777" w:rsidR="00924762" w:rsidRDefault="00924762">
      <w:pPr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924762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0100FDF1-BE68-4958-8B76-07C548B9E233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B94F59C8-5407-4874-A9F1-4097E52D8F5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762"/>
    <w:rsid w:val="0016551E"/>
    <w:rsid w:val="00303190"/>
    <w:rsid w:val="0092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37F30"/>
  <w15:docId w15:val="{F0EC0B5E-E845-43CE-B552-B3CB4DBBC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" w:eastAsia="cs-C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703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Nevyjel</cp:lastModifiedBy>
  <cp:revision>2</cp:revision>
  <dcterms:created xsi:type="dcterms:W3CDTF">2026-05-27T11:05:00Z</dcterms:created>
  <dcterms:modified xsi:type="dcterms:W3CDTF">2026-05-27T11:06:00Z</dcterms:modified>
</cp:coreProperties>
</file>