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color w:val="000000"/>
          <w:sz w:val="36"/>
          <w:szCs w:val="36"/>
        </w:rPr>
      </w:pPr>
      <w:bookmarkStart w:colFirst="0" w:colLast="0" w:name="_ptrf0isx3ihy" w:id="0"/>
      <w:bookmarkEnd w:id="0"/>
      <w:r w:rsidDel="00000000" w:rsidR="00000000" w:rsidRPr="00000000">
        <w:rPr>
          <w:rFonts w:ascii="Times New Roman" w:cs="Times New Roman" w:eastAsia="Times New Roman" w:hAnsi="Times New Roman"/>
          <w:color w:val="000000"/>
          <w:sz w:val="36"/>
          <w:szCs w:val="36"/>
          <w:rtl w:val="0"/>
        </w:rPr>
        <w:t xml:space="preserve">PARLAMENT ČESKÉ REPUBLIKY</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tabs>
          <w:tab w:val="center" w:leader="none" w:pos="4536"/>
          <w:tab w:val="right" w:leader="none" w:pos="9072"/>
        </w:tabs>
        <w:spacing w:after="200" w:before="200" w:line="276" w:lineRule="auto"/>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ab/>
        <w:t xml:space="preserve">Poslanecká sněmovna</w:t>
        <w:tab/>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20</w:t>
      </w:r>
      <w:r w:rsidDel="00000000" w:rsidR="00000000" w:rsidRPr="00000000">
        <w:rPr>
          <w:rFonts w:ascii="Times New Roman" w:cs="Times New Roman" w:eastAsia="Times New Roman" w:hAnsi="Times New Roman"/>
          <w:sz w:val="36"/>
          <w:szCs w:val="36"/>
          <w:rtl w:val="0"/>
        </w:rPr>
        <w:t xml:space="preserve">26</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X</w:t>
      </w:r>
      <w:r w:rsidDel="00000000" w:rsidR="00000000" w:rsidRPr="00000000">
        <w:rPr>
          <w:rFonts w:ascii="Times New Roman" w:cs="Times New Roman" w:eastAsia="Times New Roman" w:hAnsi="Times New Roman"/>
          <w:color w:val="000000"/>
          <w:sz w:val="36"/>
          <w:szCs w:val="36"/>
          <w:rtl w:val="0"/>
        </w:rPr>
        <w:t xml:space="preserve">. volební období</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___________________________________________________________</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200" w:before="200" w:line="276"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08">
      <w:pPr>
        <w:keepNext w:val="1"/>
        <w:keepLines w:val="1"/>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Pozměňovací návrh </w:t>
      </w:r>
      <w:r w:rsidDel="00000000" w:rsidR="00000000" w:rsidRPr="00000000">
        <w:rPr>
          <w:rtl w:val="0"/>
        </w:rPr>
      </w:r>
    </w:p>
    <w:p w:rsidR="00000000" w:rsidDel="00000000" w:rsidP="00000000" w:rsidRDefault="00000000" w:rsidRPr="00000000" w14:paraId="00000009">
      <w:pPr>
        <w:keepNext w:val="1"/>
        <w:keepLines w:val="1"/>
        <w:widowControl w:val="0"/>
        <w:spacing w:after="200" w:before="240" w:line="276" w:lineRule="auto"/>
        <w:jc w:val="center"/>
        <w:rPr>
          <w:rFonts w:ascii="Times New Roman" w:cs="Times New Roman" w:eastAsia="Times New Roman" w:hAnsi="Times New Roman"/>
          <w:b w:val="0"/>
          <w:bCs w:val="0"/>
          <w:sz w:val="32"/>
          <w:szCs w:val="32"/>
        </w:rPr>
      </w:pPr>
      <w:r w:rsidDel="00000000" w:rsidR="00000000" w:rsidRPr="00000000">
        <w:rPr>
          <w:rFonts w:ascii="Times New Roman" w:cs="Times New Roman" w:eastAsia="Times New Roman" w:hAnsi="Times New Roman"/>
          <w:b w:val="0"/>
          <w:bCs w:val="0"/>
          <w:sz w:val="32"/>
          <w:szCs w:val="32"/>
          <w:rtl w:val="0"/>
        </w:rPr>
        <w:t xml:space="preserve">poslankyň a poslanců</w:t>
      </w:r>
      <w:r w:rsidDel="00000000" w:rsidR="00000000" w:rsidRPr="00000000">
        <w:rPr>
          <w:rtl w:val="0"/>
        </w:rPr>
      </w:r>
    </w:p>
    <w:p w:rsidR="00000000" w:rsidDel="00000000" w:rsidP="00000000" w:rsidRDefault="00000000" w:rsidRPr="00000000" w14:paraId="0000000A">
      <w:pPr>
        <w:keepNext w:val="1"/>
        <w:keepLines w:val="1"/>
        <w:widowControl w:val="0"/>
        <w:spacing w:after="20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bCs w:val="0"/>
          <w:sz w:val="32"/>
          <w:szCs w:val="32"/>
          <w:rtl w:val="0"/>
        </w:rPr>
        <w:t xml:space="preserve">Veroniky Kovářové, Bohuslava Niemiece, Ivana Bartoše a Evy Šrámkové</w:t>
      </w: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b w:val="0"/>
          <w:bCs w:val="0"/>
          <w:color w:val="000000"/>
          <w:sz w:val="28"/>
          <w:szCs w:val="28"/>
        </w:rPr>
      </w:pPr>
      <w:r w:rsidDel="00000000" w:rsidR="00000000" w:rsidRPr="00000000">
        <w:rPr>
          <w:rtl w:val="0"/>
        </w:rPr>
      </w:r>
    </w:p>
    <w:p w:rsidR="00000000" w:rsidDel="00000000" w:rsidP="00000000" w:rsidRDefault="00000000" w:rsidRPr="00000000" w14:paraId="0000000D">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 komplexnímu pozměňovacímu návrhu uvedenému v usnesení hospodářského výboru č. 55 ze dne 30. dubna 2026</w:t>
      </w:r>
    </w:p>
    <w:p w:rsidR="00000000" w:rsidDel="00000000" w:rsidP="00000000" w:rsidRDefault="00000000" w:rsidRPr="00000000" w14:paraId="0000000E">
      <w:pPr>
        <w:spacing w:after="12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p>
    <w:p w:rsidR="00000000" w:rsidDel="00000000" w:rsidP="00000000" w:rsidRDefault="00000000" w:rsidRPr="00000000" w14:paraId="0000000F">
      <w:pPr>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200" w:before="200" w:line="276" w:lineRule="auto"/>
        <w:jc w:val="both"/>
        <w:rPr>
          <w:rFonts w:ascii="Times New Roman" w:cs="Times New Roman" w:eastAsia="Times New Roman" w:hAnsi="Times New Roman"/>
          <w:color w:val="000000"/>
          <w:sz w:val="30"/>
          <w:szCs w:val="3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40"/>
          <w:szCs w:val="40"/>
          <w:rtl w:val="0"/>
        </w:rPr>
        <w:t xml:space="preserve">ST </w:t>
      </w:r>
      <w:r w:rsidDel="00000000" w:rsidR="00000000" w:rsidRPr="00000000">
        <w:rPr>
          <w:rFonts w:ascii="Times New Roman" w:cs="Times New Roman" w:eastAsia="Times New Roman" w:hAnsi="Times New Roman"/>
          <w:sz w:val="40"/>
          <w:szCs w:val="40"/>
          <w:rtl w:val="0"/>
        </w:rPr>
        <w:t xml:space="preserve">67/11</w:t>
      </w:r>
      <w:r w:rsidDel="00000000" w:rsidR="00000000" w:rsidRPr="00000000">
        <w:rPr>
          <w:rtl w:val="0"/>
        </w:rPr>
      </w:r>
    </w:p>
    <w:p w:rsidR="00000000" w:rsidDel="00000000" w:rsidP="00000000" w:rsidRDefault="00000000" w:rsidRPr="00000000" w14:paraId="00000012">
      <w:pPr>
        <w:widowControl w:val="0"/>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widowControl w:val="0"/>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Datum: </w:t>
      </w:r>
      <w:r w:rsidDel="00000000" w:rsidR="00000000" w:rsidRPr="00000000">
        <w:rPr>
          <w:rFonts w:ascii="Times New Roman" w:cs="Times New Roman" w:eastAsia="Times New Roman" w:hAnsi="Times New Roman"/>
          <w:b w:val="0"/>
          <w:bCs w:val="0"/>
          <w:rtl w:val="0"/>
        </w:rPr>
        <w:t xml:space="preserve">27. 5. 2026</w:t>
      </w:r>
      <w:r w:rsidDel="00000000" w:rsidR="00000000" w:rsidRPr="00000000">
        <w:br w:type="page"/>
      </w:r>
      <w:r w:rsidDel="00000000" w:rsidR="00000000" w:rsidRPr="00000000">
        <w:rPr>
          <w:rtl w:val="0"/>
        </w:rPr>
      </w:r>
    </w:p>
    <w:p w:rsidR="00000000" w:rsidDel="00000000" w:rsidP="00000000" w:rsidRDefault="00000000" w:rsidRPr="00000000" w14:paraId="00000015">
      <w:pPr>
        <w:widowControl w:val="0"/>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Komplexní pozměňovací návrh uvedený v usnesení hospodářského výboru č. 55 ze dne 30. dubna 2026 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(sněmovní tisk 67/11), se mění takto:</w:t>
      </w:r>
    </w:p>
    <w:p w:rsidR="00000000" w:rsidDel="00000000" w:rsidP="00000000" w:rsidRDefault="00000000" w:rsidRPr="00000000" w14:paraId="00000016">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části třicáté první v Čl. XLVI se bod 1 zrušuje.</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Dosavadní body 2 a 3 se označují jako body 1 a 2.</w:t>
      </w:r>
    </w:p>
    <w:p w:rsidR="00000000" w:rsidDel="00000000" w:rsidP="00000000" w:rsidRDefault="00000000" w:rsidRPr="00000000" w14:paraId="00000018">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části třicáté první v Čl. XLVI bod 1 zní:</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V § 17 odst. 1 větě druhé se za slova „plánovací dokumentací a“ vkládají slova „, nemá-li obec vydán územní plán, také“.“.</w:t>
      </w:r>
    </w:p>
    <w:p w:rsidR="00000000" w:rsidDel="00000000" w:rsidP="00000000" w:rsidRDefault="00000000" w:rsidRPr="00000000" w14:paraId="0000001A">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 části třicáté první v Čl. XLVI bod 2 zní:</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V § 17 odst. 2 se věta druhá zrušuje.</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200" w:before="200" w:line="276"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Poznámka pod čarou č. 30 se zrušuje.“.</w:t>
      </w:r>
    </w:p>
    <w:p w:rsidR="00000000" w:rsidDel="00000000" w:rsidP="00000000" w:rsidRDefault="00000000" w:rsidRPr="00000000" w14:paraId="0000001D">
      <w:pPr>
        <w:widowControl w:val="0"/>
        <w:numPr>
          <w:ilvl w:val="0"/>
          <w:numId w:val="1"/>
        </w:numPr>
        <w:pBdr>
          <w:top w:space="0" w:sz="0" w:val="nil"/>
          <w:left w:space="0" w:sz="0" w:val="nil"/>
          <w:bottom w:space="0" w:sz="0" w:val="nil"/>
          <w:right w:space="0" w:sz="0" w:val="nil"/>
          <w:between w:space="0" w:sz="0" w:val="nil"/>
        </w:pBdr>
        <w:spacing w:after="200" w:before="200" w:line="276" w:lineRule="auto"/>
        <w:ind w:left="720" w:hanging="360"/>
        <w:rPr>
          <w:rFonts w:ascii="Times New Roman" w:cs="Times New Roman" w:eastAsia="Times New Roman" w:hAnsi="Times New Roman"/>
          <w:b w:val="0"/>
          <w:bCs w:val="0"/>
          <w:u w:val="none"/>
        </w:rPr>
      </w:pPr>
      <w:r w:rsidDel="00000000" w:rsidR="00000000" w:rsidRPr="00000000">
        <w:rPr>
          <w:rFonts w:ascii="Times New Roman" w:cs="Times New Roman" w:eastAsia="Times New Roman" w:hAnsi="Times New Roman"/>
          <w:b w:val="0"/>
          <w:bCs w:val="0"/>
          <w:rtl w:val="0"/>
        </w:rPr>
        <w:t xml:space="preserve">V části třicáté první v Čl. XLVII se bod 2 zrušuje a zároveň se zrušuje označení bodu 1. </w:t>
      </w:r>
    </w:p>
    <w:p w:rsidR="00000000" w:rsidDel="00000000" w:rsidP="00000000" w:rsidRDefault="00000000" w:rsidRPr="00000000" w14:paraId="0000001E">
      <w:pPr>
        <w:spacing w:after="200" w:before="200" w:line="276" w:lineRule="auto"/>
        <w:ind w:firstLine="720"/>
        <w:jc w:val="both"/>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1F">
      <w:pPr>
        <w:pageBreakBefore w:val="1"/>
        <w:widowControl w:val="0"/>
        <w:pBdr>
          <w:top w:space="0" w:sz="0" w:val="nil"/>
          <w:left w:space="0" w:sz="0" w:val="nil"/>
          <w:bottom w:space="0" w:sz="0" w:val="nil"/>
          <w:right w:space="0" w:sz="0" w:val="nil"/>
          <w:between w:space="0" w:sz="0" w:val="nil"/>
        </w:pBdr>
        <w:spacing w:after="200" w:before="200" w:line="276" w:lineRule="auto"/>
        <w:jc w:val="center"/>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color w:val="000000"/>
          <w:rtl w:val="0"/>
        </w:rPr>
        <w:t xml:space="preserve">O d ů v o d n ě n í:</w:t>
      </w:r>
      <w:r w:rsidDel="00000000" w:rsidR="00000000" w:rsidRPr="00000000">
        <w:rPr>
          <w:rtl w:val="0"/>
        </w:rPr>
      </w:r>
    </w:p>
    <w:p w:rsidR="00000000" w:rsidDel="00000000" w:rsidP="00000000" w:rsidRDefault="00000000" w:rsidRPr="00000000" w14:paraId="00000020">
      <w:pPr>
        <w:spacing w:after="12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Pozměňovací návrh reaguje na úpravu zákona č. 256/2001 Sb., o pohřebnictví, obsaženou v komplexním pozměňovacím návrhu hospodářského výboru. Tato úprava převádí posouzení některých hledisek ochrany veřejného zdraví při zřizování krematorií a veřejných pohřebišť na stavební úřady a u veřejných pohřebišť nahrazuje stanovisko vodoprávního úřadu vyjádřením. Navrhovaný pozměňovací návrh tento přenos v citlivé oblasti pohřebnictví zmírňuje a zachovává dosavadní odbornou roli krajských hygienických stanic a vodoprávních úřadů.</w:t>
      </w:r>
    </w:p>
    <w:p w:rsidR="00000000" w:rsidDel="00000000" w:rsidP="00000000" w:rsidRDefault="00000000" w:rsidRPr="00000000" w14:paraId="00000021">
      <w:pPr>
        <w:spacing w:after="12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Účelem návrhu je zachovat stávající úroveň ochrany veřejného zdraví a ochrany podzemních vod při povolování zřízení krematoria a veřejného pohřebiště. Tyto záměry mají specifickou povahu, neboť souvisejí se zacházením s lidskými pozůstatky a lidskými ostatky, s provozem zařízení s možnými hygienickými dopady a u veřejných pohřebišť také s ochranou podzemních vod. Ponechání specializovaných dotčených orgánů je proto věcně odůvodněné.</w:t>
      </w:r>
    </w:p>
    <w:p w:rsidR="00000000" w:rsidDel="00000000" w:rsidP="00000000" w:rsidRDefault="00000000" w:rsidRPr="00000000" w14:paraId="00000022">
      <w:pPr>
        <w:spacing w:after="200" w:before="20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Navíc je třeba si uvědomit, že zacházení s lidskými pozůstatky, tedy zejména mrtvými lidskými těly, vyžaduje nanejvýš citlivý přístup. V případě pochybení stavebních úřadů při posuzování nově zřizovaných krematorií nebo veřejných pohřebišť by byly druhotné škody vzniklé zejména na straně pozůstalých, kteří by museli snášet například exhumace těl svých blízkých, zcela nepředstavitelné.</w:t>
      </w:r>
    </w:p>
    <w:p w:rsidR="00000000" w:rsidDel="00000000" w:rsidP="00000000" w:rsidRDefault="00000000" w:rsidRPr="00000000" w14:paraId="00000023">
      <w:pPr>
        <w:spacing w:after="12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Krajské hygienické stanice disponují odbornou působností v oblasti ochrany veřejného zdraví a vodoprávní úřady odbornou působností v oblasti ochrany vod. U záměrů, jejichž případné nedostatky mohou mít závažné a obtížně napravitelné důsledky, je žádoucí, aby tyto veřejné zájmy byly nadále posuzovány orgány, které mají k dané problematice odborné kapacity, institucionální zkušenost a odpovědnost podle zvláštních právních předpisů. V takové situaci je nezodpovědné přidávat stavebním úřadům i novou působnost právě na tak citlivém úseku, jakým je pohřebnictví.</w:t>
      </w:r>
    </w:p>
    <w:p w:rsidR="00000000" w:rsidDel="00000000" w:rsidP="00000000" w:rsidRDefault="00000000" w:rsidRPr="00000000" w14:paraId="00000024">
      <w:pPr>
        <w:spacing w:after="12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Návrh současně ponechává komplexním pozměńovacím návrhem navrhovanou změnu, podle níž se u zřízení veřejného pohřebiště posouzení z hlediska uplatňování cílů a úkolů územního plánování provádí pouze tehdy, nemá-li obec vydán územní plán. Tato část změny odpovídá obecné koncepci stavebního zákona, podle níž má být v území s vydaným územním plánem rozhodování primárně opřeno o územně plánovací dokumentaci.</w:t>
      </w:r>
    </w:p>
    <w:p w:rsidR="00000000" w:rsidDel="00000000" w:rsidP="00000000" w:rsidRDefault="00000000" w:rsidRPr="00000000" w14:paraId="00000025">
      <w:pPr>
        <w:spacing w:after="12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V § 17 odst. 2 se navrhuje pouze vypustit větu druhou, která vylučuje stanovisko vodoprávního úřadu u záměrů vyžadujících jednotné environmentální stanovisko, a současně zrušit související poznámku pod čarou č. 30. Tím se zachovává vodoprávní úřad jako dotčený orgán u záměrů zřízení veřejného pohřebiště a odstraňuje se vazba na úpravu jednotného environmentálního stanoviska v rozsahu, v němž je v projednávaném návrhu měněna.</w:t>
      </w:r>
    </w:p>
    <w:p w:rsidR="00000000" w:rsidDel="00000000" w:rsidP="00000000" w:rsidRDefault="00000000" w:rsidRPr="00000000" w14:paraId="00000026">
      <w:pPr>
        <w:spacing w:after="12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Navrhuje se rovněž zrušit přechodné ustanovení, podle něhož měly splnění podmínek z hlediska ochrany veřejného zdraví podle § 12 a § 17 zákona o pohřebnictví ode dne vzniku úřadů rozvoje území krajů posuzovat stavební úřady. Toto přechodné ustanovení by po zachování odborné role krajských hygienických stanic nebylo slučitelné s navrhovanou věcnou úpravou.</w:t>
      </w:r>
    </w:p>
    <w:p w:rsidR="00000000" w:rsidDel="00000000" w:rsidP="00000000" w:rsidRDefault="00000000" w:rsidRPr="00000000" w14:paraId="00000027">
      <w:pPr>
        <w:spacing w:after="120" w:line="276"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Pozměňovací návrh je koncipován úzce. Nemění ostatní části zákona o pohřebnictví a nezasahuje do procesních pravidel nad rámec toho, co je nezbytné k zachování odborného posouzení veřejného zdraví a ochrany podzemních vod. Z hlediska projednatelnosti navazuje přímo na část třicátou první komplexního pozměňovacího návrhu, která mění zákon o pohřebnictví, a upravuje pouze novelizační body obsažené v této části.</w:t>
      </w:r>
    </w:p>
    <w:p w:rsidR="00000000" w:rsidDel="00000000" w:rsidP="00000000" w:rsidRDefault="00000000" w:rsidRPr="00000000" w14:paraId="00000028">
      <w:pPr>
        <w:spacing w:after="120" w:line="276" w:lineRule="auto"/>
        <w:jc w:val="both"/>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29">
      <w:pPr>
        <w:spacing w:after="200" w:before="200" w:line="276" w:lineRule="auto"/>
        <w:jc w:val="both"/>
        <w:rPr>
          <w:rFonts w:ascii="Times New Roman" w:cs="Times New Roman" w:eastAsia="Times New Roman" w:hAnsi="Times New Roman"/>
          <w:highlight w:val="white"/>
        </w:rPr>
      </w:pPr>
      <w:r w:rsidDel="00000000" w:rsidR="00000000" w:rsidRPr="00000000">
        <w:br w:type="page"/>
      </w:r>
      <w:r w:rsidDel="00000000" w:rsidR="00000000" w:rsidRPr="00000000">
        <w:rPr>
          <w:rFonts w:ascii="Times New Roman" w:cs="Times New Roman" w:eastAsia="Times New Roman" w:hAnsi="Times New Roman"/>
          <w:rtl w:val="0"/>
        </w:rPr>
        <w:t xml:space="preserve">Platné znění zákona č. 256/2001 Sb., o pohřebnictví a o změně některých zákonů, ve znění pozdějších předpisů, s vyznačením navrhovaných změn</w:t>
      </w:r>
      <w:r w:rsidDel="00000000" w:rsidR="00000000" w:rsidRPr="00000000">
        <w:rPr>
          <w:rtl w:val="0"/>
        </w:rPr>
      </w:r>
    </w:p>
    <w:p w:rsidR="00000000" w:rsidDel="00000000" w:rsidP="00000000" w:rsidRDefault="00000000" w:rsidRPr="00000000" w14:paraId="0000002A">
      <w:pPr>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u w:val="single"/>
          <w:rtl w:val="0"/>
        </w:rPr>
        <w:t xml:space="preserve">[změny provedené komplexním pozměňovacím návrhem ČERNĚ, změny provedené pozměňovacím návrhem </w:t>
      </w:r>
      <w:r w:rsidDel="00000000" w:rsidR="00000000" w:rsidRPr="00000000">
        <w:rPr>
          <w:rFonts w:ascii="Times New Roman" w:cs="Times New Roman" w:eastAsia="Times New Roman" w:hAnsi="Times New Roman"/>
          <w:color w:val="ff0000"/>
          <w:u w:val="single"/>
          <w:rtl w:val="0"/>
        </w:rPr>
        <w:t xml:space="preserve">ČERVENĚ</w:t>
      </w:r>
      <w:r w:rsidDel="00000000" w:rsidR="00000000" w:rsidRPr="00000000">
        <w:rPr>
          <w:rFonts w:ascii="Times New Roman" w:cs="Times New Roman" w:eastAsia="Times New Roman" w:hAnsi="Times New Roman"/>
          <w:u w:val="single"/>
          <w:rtl w:val="0"/>
        </w:rPr>
        <w:t xml:space="preserve">, stávající text zákona oproti komplexnímu pozměňovacímu návrhu zachovaný ČERNĚ PODTRŽENÝ]</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r>
    </w:p>
    <w:p w:rsidR="00000000" w:rsidDel="00000000" w:rsidP="00000000" w:rsidRDefault="00000000" w:rsidRPr="00000000" w14:paraId="0000002B">
      <w:pPr>
        <w:spacing w:after="200" w:before="200" w:line="276" w:lineRule="auto"/>
        <w:jc w:val="center"/>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2C">
      <w:pP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12</w:t>
      </w:r>
    </w:p>
    <w:p w:rsidR="00000000" w:rsidDel="00000000" w:rsidP="00000000" w:rsidRDefault="00000000" w:rsidRPr="00000000" w14:paraId="0000002D">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Zřízení krematoria</w:t>
      </w:r>
    </w:p>
    <w:p w:rsidR="00000000" w:rsidDel="00000000" w:rsidP="00000000" w:rsidRDefault="00000000" w:rsidRPr="00000000" w14:paraId="0000002E">
      <w:pPr>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Krematorium lze zřídit jen na základě povolení záměru podle stavebního zákona.  </w:t>
      </w:r>
      <w:r w:rsidDel="00000000" w:rsidR="00000000" w:rsidRPr="00000000">
        <w:rPr>
          <w:rFonts w:ascii="Times New Roman" w:cs="Times New Roman" w:eastAsia="Times New Roman" w:hAnsi="Times New Roman"/>
          <w:b w:val="0"/>
          <w:bCs w:val="0"/>
          <w:u w:val="single"/>
          <w:rtl w:val="0"/>
        </w:rPr>
        <w:t xml:space="preserve">Dotčeným orgánem je také vždy krajská hygienická stanice, která pro účely řízení o povolení záměru vydá stanovisko z hlediska ochrany veřejného zdraví.</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strike w:val="1"/>
          <w:color w:val="ee0000"/>
          <w:rtl w:val="0"/>
        </w:rPr>
        <w:t xml:space="preserve">Splnění podmínek z hlediska ochrany veřejného zdraví posuzuje stavební úřad v řízení o záměru podle stavebního zákona.</w:t>
      </w:r>
      <w:r w:rsidDel="00000000" w:rsidR="00000000" w:rsidRPr="00000000">
        <w:rPr>
          <w:rtl w:val="0"/>
        </w:rPr>
      </w:r>
    </w:p>
    <w:p w:rsidR="00000000" w:rsidDel="00000000" w:rsidP="00000000" w:rsidRDefault="00000000" w:rsidRPr="00000000" w14:paraId="0000002F">
      <w:pPr>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00" w:before="200" w:line="276"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17</w:t>
      </w:r>
    </w:p>
    <w:p w:rsidR="00000000" w:rsidDel="00000000" w:rsidP="00000000" w:rsidRDefault="00000000" w:rsidRPr="00000000" w14:paraId="00000031">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Zřízení veřejného pohřebiště</w:t>
      </w:r>
    </w:p>
    <w:p w:rsidR="00000000" w:rsidDel="00000000" w:rsidP="00000000" w:rsidRDefault="00000000" w:rsidRPr="00000000" w14:paraId="00000032">
      <w:pPr>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u w:val="single"/>
          <w:rtl w:val="0"/>
        </w:rPr>
        <w:t xml:space="preserve">(1)</w:t>
      </w:r>
      <w:r w:rsidDel="00000000" w:rsidR="00000000" w:rsidRPr="00000000">
        <w:rPr>
          <w:rFonts w:ascii="Times New Roman" w:cs="Times New Roman" w:eastAsia="Times New Roman" w:hAnsi="Times New Roman"/>
          <w:b w:val="0"/>
          <w:bCs w:val="0"/>
          <w:rtl w:val="0"/>
        </w:rPr>
        <w:t xml:space="preserve"> Veřejné pohřebiště lze zřídit na návrh obce nebo registrované církve a náboženské společnosti jen na pozemku v jejich vlastnictví na základě povolení záměru podle stavebního zákona. V rámci řízení o povolení záměru posoudí stavební úřad záměr zřízení veřejného pohřebiště </w:t>
      </w:r>
      <w:r w:rsidDel="00000000" w:rsidR="00000000" w:rsidRPr="00000000">
        <w:rPr>
          <w:rFonts w:ascii="Times New Roman" w:cs="Times New Roman" w:eastAsia="Times New Roman" w:hAnsi="Times New Roman"/>
          <w:strike w:val="1"/>
          <w:color w:val="ee0000"/>
          <w:rtl w:val="0"/>
        </w:rPr>
        <w:t xml:space="preserve">z hlediska ochrany veřejného zdraví, z hlediska ochrany podzemních vod,</w:t>
      </w:r>
      <w:r w:rsidDel="00000000" w:rsidR="00000000" w:rsidRPr="00000000">
        <w:rPr>
          <w:rFonts w:ascii="Times New Roman" w:cs="Times New Roman" w:eastAsia="Times New Roman" w:hAnsi="Times New Roman"/>
          <w:b w:val="0"/>
          <w:bCs w:val="0"/>
          <w:color w:val="ee0000"/>
          <w:rtl w:val="0"/>
        </w:rPr>
        <w:t xml:space="preserve"> </w:t>
      </w:r>
      <w:r w:rsidDel="00000000" w:rsidR="00000000" w:rsidRPr="00000000">
        <w:rPr>
          <w:rFonts w:ascii="Times New Roman" w:cs="Times New Roman" w:eastAsia="Times New Roman" w:hAnsi="Times New Roman"/>
          <w:b w:val="0"/>
          <w:bCs w:val="0"/>
          <w:rtl w:val="0"/>
        </w:rPr>
        <w:t xml:space="preserve">z hlediska souladu s územně plánovací dokumentací a</w:t>
      </w:r>
      <w:r w:rsidDel="00000000" w:rsidR="00000000" w:rsidRPr="00000000">
        <w:rPr>
          <w:rFonts w:ascii="Times New Roman" w:cs="Times New Roman" w:eastAsia="Times New Roman" w:hAnsi="Times New Roman"/>
          <w:rtl w:val="0"/>
        </w:rPr>
        <w:t xml:space="preserve">, nemá-li obec vydán územní plán, také</w:t>
      </w:r>
      <w:r w:rsidDel="00000000" w:rsidR="00000000" w:rsidRPr="00000000">
        <w:rPr>
          <w:rFonts w:ascii="Times New Roman" w:cs="Times New Roman" w:eastAsia="Times New Roman" w:hAnsi="Times New Roman"/>
          <w:b w:val="0"/>
          <w:bCs w:val="0"/>
          <w:rtl w:val="0"/>
        </w:rPr>
        <w:t xml:space="preserve"> z hlediska uplatňování cílů a úkolů územního plánování. Mají-li být součástí veřejného pohřebiště hroby nebo hrobky, je obec nebo registrovaná církev a náboženská společnost povinna kromě podkladů stanovených zvláštním právním předpisem14) předložit i výsledky hydrogeologického průzkumu, z nichž je patrno, že pozemek je k takovému způsobu pohřbívání vhodný. Ke zřizování jednotlivých hrobů, hrobek, úložišť jednotlivých uren a hrobových zařízení na pohřebišti není třeba povolení záměru podle stavebního zákona.</w:t>
      </w:r>
    </w:p>
    <w:p w:rsidR="00000000" w:rsidDel="00000000" w:rsidP="00000000" w:rsidRDefault="00000000" w:rsidRPr="00000000" w14:paraId="00000033">
      <w:pPr>
        <w:spacing w:after="200" w:before="200" w:line="276"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u w:val="single"/>
          <w:rtl w:val="0"/>
        </w:rPr>
        <w:t xml:space="preserve">(2) Dotčenými orgány v řízení o povolení záměru zřízení veřejného pohřebiště jsou vždy také krajská hygienická stanice, která vydá stanovisko z hlediska ochrany veřejného zdraví, a vodoprávní úřad, který vydává stanovisko z hlediska ochrany podzemních vod.</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b w:val="0"/>
          <w:bCs w:val="0"/>
          <w:strike w:val="1"/>
          <w:rtl w:val="0"/>
        </w:rPr>
        <w:t xml:space="preserve">Jedná-li se o záměr vyžadující jednotné environmentální stanovisko30), stanovisko vodoprávního úřadu se nevydává.</w:t>
      </w:r>
      <w:r w:rsidDel="00000000" w:rsidR="00000000" w:rsidRPr="00000000">
        <w:rPr>
          <w:rtl w:val="0"/>
        </w:rPr>
      </w:r>
    </w:p>
    <w:p w:rsidR="00000000" w:rsidDel="00000000" w:rsidP="00000000" w:rsidRDefault="00000000" w:rsidRPr="00000000" w14:paraId="00000034">
      <w:pPr>
        <w:tabs>
          <w:tab w:val="left" w:leader="none" w:pos="2268"/>
        </w:tabs>
        <w:spacing w:after="120" w:before="120" w:line="276" w:lineRule="auto"/>
        <w:jc w:val="both"/>
        <w:rPr/>
      </w:pPr>
      <w:r w:rsidDel="00000000" w:rsidR="00000000" w:rsidRPr="00000000">
        <w:rPr>
          <w:rFonts w:ascii="Times New Roman" w:cs="Times New Roman" w:eastAsia="Times New Roman" w:hAnsi="Times New Roman"/>
          <w:strike w:val="1"/>
          <w:color w:val="ff0000"/>
          <w:rtl w:val="0"/>
        </w:rPr>
        <w:t xml:space="preserve">(2) Vodoprávní úřad vydá k záměru zřízení veřejného pohřebiště vyjádření z hlediska ochrany podzemních vod.</w:t>
      </w:r>
      <w:r w:rsidDel="00000000" w:rsidR="00000000" w:rsidRPr="00000000">
        <w:rPr>
          <w:strike w:val="1"/>
          <w:color w:val="ff0000"/>
          <w:rtl w:val="0"/>
        </w:rPr>
        <w:t xml:space="preserve"> </w:t>
      </w:r>
      <w:r w:rsidDel="00000000" w:rsidR="00000000" w:rsidRPr="00000000">
        <w:rPr>
          <w:rtl w:val="0"/>
        </w:rPr>
        <w:tab/>
      </w: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35">
      <w:pPr>
        <w:spacing w:after="200" w:before="200" w:line="276" w:lineRule="auto"/>
        <w:jc w:val="both"/>
        <w:rPr>
          <w:rFonts w:ascii="Times New Roman" w:cs="Times New Roman" w:eastAsia="Times New Roman" w:hAnsi="Times New Roman"/>
          <w:b w:val="0"/>
          <w:bCs w:val="0"/>
          <w:strike w:val="1"/>
          <w:highlight w:val="white"/>
        </w:rPr>
      </w:pPr>
      <w:r w:rsidDel="00000000" w:rsidR="00000000" w:rsidRPr="00000000">
        <w:rPr>
          <w:rFonts w:ascii="Times New Roman" w:cs="Times New Roman" w:eastAsia="Times New Roman" w:hAnsi="Times New Roman"/>
          <w:b w:val="0"/>
          <w:bCs w:val="0"/>
          <w:strike w:val="1"/>
          <w:vertAlign w:val="superscript"/>
          <w:rtl w:val="0"/>
        </w:rPr>
        <w:t xml:space="preserve">30</w:t>
      </w:r>
      <w:r w:rsidDel="00000000" w:rsidR="00000000" w:rsidRPr="00000000">
        <w:rPr>
          <w:rFonts w:ascii="Times New Roman" w:cs="Times New Roman" w:eastAsia="Times New Roman" w:hAnsi="Times New Roman"/>
          <w:b w:val="0"/>
          <w:bCs w:val="0"/>
          <w:strike w:val="1"/>
          <w:rtl w:val="0"/>
        </w:rPr>
        <w:t xml:space="preserve">)</w:t>
        <w:tab/>
        <w:t xml:space="preserve">Zákon č. 148/2023 Sb., o jednotném environmentálním stanovisku.</w:t>
      </w:r>
      <w:r w:rsidDel="00000000" w:rsidR="00000000" w:rsidRPr="00000000">
        <w:rPr>
          <w:rtl w:val="0"/>
        </w:rPr>
      </w:r>
    </w:p>
    <w:p w:rsidR="00000000" w:rsidDel="00000000" w:rsidP="00000000" w:rsidRDefault="00000000" w:rsidRPr="00000000" w14:paraId="00000036">
      <w:pPr>
        <w:spacing w:after="200" w:before="200" w:line="276" w:lineRule="auto"/>
        <w:jc w:val="both"/>
        <w:rPr>
          <w:rFonts w:ascii="Times New Roman" w:cs="Times New Roman" w:eastAsia="Times New Roman" w:hAnsi="Times New Roman"/>
          <w:highlight w:val="white"/>
        </w:rPr>
      </w:pPr>
      <w:r w:rsidDel="00000000" w:rsidR="00000000" w:rsidRPr="00000000">
        <w:rPr>
          <w:rtl w:val="0"/>
        </w:rPr>
      </w:r>
    </w:p>
    <w:sectPr>
      <w:footerReference r:id="rId6"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ade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adea" w:cs="Caladea" w:eastAsia="Caladea" w:hAnsi="Caladea"/>
        <w:b w:val="1"/>
        <w:bCs w:val="1"/>
        <w:sz w:val="24"/>
        <w:szCs w:val="24"/>
        <w:lang w:val="c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sz w:val="48"/>
      <w:szCs w:val="48"/>
    </w:rPr>
  </w:style>
  <w:style w:type="paragraph" w:styleId="Heading2">
    <w:name w:val="heading 2"/>
    <w:basedOn w:val="Normal"/>
    <w:next w:val="Normal"/>
    <w:pPr>
      <w:keepNext w:val="1"/>
      <w:keepLines w:val="1"/>
      <w:spacing w:after="80" w:before="360" w:lineRule="auto"/>
    </w:pPr>
    <w:rPr>
      <w:sz w:val="36"/>
      <w:szCs w:val="36"/>
    </w:rPr>
  </w:style>
  <w:style w:type="paragraph" w:styleId="Heading3">
    <w:name w:val="heading 3"/>
    <w:basedOn w:val="Normal"/>
    <w:next w:val="Normal"/>
    <w:pPr>
      <w:keepNext w:val="1"/>
      <w:keepLines w:val="1"/>
      <w:spacing w:after="80" w:before="280" w:lineRule="auto"/>
    </w:pPr>
    <w:rPr>
      <w:sz w:val="28"/>
      <w:szCs w:val="28"/>
    </w:rPr>
  </w:style>
  <w:style w:type="paragraph" w:styleId="Heading4">
    <w:name w:val="heading 4"/>
    <w:basedOn w:val="Normal"/>
    <w:next w:val="Normal"/>
    <w:pPr>
      <w:keepNext w:val="1"/>
      <w:keepLines w:val="1"/>
      <w:spacing w:after="40" w:before="240" w:lineRule="auto"/>
    </w:pPr>
    <w:rPr/>
  </w:style>
  <w:style w:type="paragraph" w:styleId="Heading5">
    <w:name w:val="heading 5"/>
    <w:basedOn w:val="Normal"/>
    <w:next w:val="Normal"/>
    <w:pPr>
      <w:keepNext w:val="1"/>
      <w:keepLines w:val="1"/>
      <w:spacing w:after="40" w:before="220" w:lineRule="auto"/>
    </w:pPr>
    <w:rPr>
      <w:sz w:val="22"/>
      <w:szCs w:val="22"/>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ladea-regular.ttf"/><Relationship Id="rId2" Type="http://schemas.openxmlformats.org/officeDocument/2006/relationships/font" Target="fonts/Caladea-bold.ttf"/><Relationship Id="rId3" Type="http://schemas.openxmlformats.org/officeDocument/2006/relationships/font" Target="fonts/Caladea-italic.ttf"/><Relationship Id="rId4" Type="http://schemas.openxmlformats.org/officeDocument/2006/relationships/font" Target="fonts/Calade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