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76" w:lineRule="auto"/>
        <w:jc w:val="center"/>
        <w:rPr>
          <w:b w:val="1"/>
          <w:bCs w:val="1"/>
          <w:sz w:val="22"/>
          <w:szCs w:val="22"/>
        </w:rPr>
      </w:pPr>
      <w:r w:rsidDel="00000000" w:rsidR="00000000" w:rsidRPr="00000000">
        <w:rPr>
          <w:b w:val="1"/>
          <w:bCs w:val="1"/>
          <w:sz w:val="22"/>
          <w:szCs w:val="22"/>
        </w:rPr>
        <w:drawing>
          <wp:inline distB="0" distT="0" distL="0" distR="0">
            <wp:extent cx="2080260" cy="1082040"/>
            <wp:effectExtent b="0" l="0" r="0" t="0"/>
            <wp:docPr descr="Obsah obrázku Písmo, skica, klipart, Perokresba&#10;&#10;Obsah generovaný pomocí AI může být nesprávný." id="1" name="image1.jpg"/>
            <a:graphic>
              <a:graphicData uri="http://schemas.openxmlformats.org/drawingml/2006/picture">
                <pic:pic>
                  <pic:nvPicPr>
                    <pic:cNvPr descr="Obsah obrázku Písmo, skica, klipart, Perokresba&#10;&#10;Obsah generovaný pomocí AI může být nesprávný." id="0" name="image1.jpg"/>
                    <pic:cNvPicPr preferRelativeResize="0"/>
                  </pic:nvPicPr>
                  <pic:blipFill>
                    <a:blip r:embed="rId7"/>
                    <a:srcRect b="0" l="0" r="0" t="0"/>
                    <a:stretch>
                      <a:fillRect/>
                    </a:stretch>
                  </pic:blipFill>
                  <pic:spPr>
                    <a:xfrm>
                      <a:off x="0" y="0"/>
                      <a:ext cx="2080260" cy="1082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1"/>
        <w:spacing w:after="120" w:before="120" w:line="276" w:lineRule="auto"/>
        <w:jc w:val="center"/>
        <w:rPr>
          <w:sz w:val="22"/>
          <w:szCs w:val="22"/>
        </w:rPr>
      </w:pPr>
      <w:r w:rsidDel="00000000" w:rsidR="00000000" w:rsidRPr="00000000">
        <w:rPr>
          <w:rtl w:val="0"/>
        </w:rPr>
      </w:r>
    </w:p>
    <w:p w:rsidR="00000000" w:rsidDel="00000000" w:rsidP="00000000" w:rsidRDefault="00000000" w:rsidRPr="00000000" w14:paraId="00000003">
      <w:pPr>
        <w:spacing w:after="120" w:before="120" w:line="276" w:lineRule="auto"/>
        <w:jc w:val="center"/>
        <w:rPr>
          <w:b w:val="1"/>
          <w:bCs w:val="1"/>
          <w:sz w:val="22"/>
          <w:szCs w:val="22"/>
        </w:rPr>
      </w:pPr>
      <w:r w:rsidDel="00000000" w:rsidR="00000000" w:rsidRPr="00000000">
        <w:rPr>
          <w:b w:val="1"/>
          <w:bCs w:val="1"/>
          <w:sz w:val="22"/>
          <w:szCs w:val="22"/>
          <w:rtl w:val="0"/>
        </w:rPr>
        <w:t xml:space="preserve">PARLAMENT ČESKÉ REPUBLIKY</w:t>
      </w:r>
    </w:p>
    <w:p w:rsidR="00000000" w:rsidDel="00000000" w:rsidP="00000000" w:rsidRDefault="00000000" w:rsidRPr="00000000" w14:paraId="00000004">
      <w:pPr>
        <w:spacing w:after="120" w:before="120" w:line="276" w:lineRule="auto"/>
        <w:jc w:val="center"/>
        <w:rPr>
          <w:sz w:val="22"/>
          <w:szCs w:val="22"/>
        </w:rPr>
      </w:pPr>
      <w:r w:rsidDel="00000000" w:rsidR="00000000" w:rsidRPr="00000000">
        <w:rPr>
          <w:sz w:val="22"/>
          <w:szCs w:val="22"/>
          <w:rtl w:val="0"/>
        </w:rPr>
        <w:t xml:space="preserve">Poslanecká sněmovna</w:t>
      </w:r>
    </w:p>
    <w:p w:rsidR="00000000" w:rsidDel="00000000" w:rsidP="00000000" w:rsidRDefault="00000000" w:rsidRPr="00000000" w14:paraId="00000005">
      <w:pPr>
        <w:spacing w:after="120" w:before="120" w:line="276" w:lineRule="auto"/>
        <w:jc w:val="center"/>
        <w:rPr>
          <w:sz w:val="22"/>
          <w:szCs w:val="22"/>
        </w:rPr>
      </w:pPr>
      <w:r w:rsidDel="00000000" w:rsidR="00000000" w:rsidRPr="00000000">
        <w:rPr>
          <w:sz w:val="22"/>
          <w:szCs w:val="22"/>
          <w:rtl w:val="0"/>
        </w:rPr>
        <w:t xml:space="preserve">2026</w:t>
      </w:r>
    </w:p>
    <w:p w:rsidR="00000000" w:rsidDel="00000000" w:rsidP="00000000" w:rsidRDefault="00000000" w:rsidRPr="00000000" w14:paraId="00000006">
      <w:pPr>
        <w:spacing w:after="120" w:before="120" w:line="276" w:lineRule="auto"/>
        <w:jc w:val="center"/>
        <w:rPr>
          <w:sz w:val="22"/>
          <w:szCs w:val="22"/>
        </w:rPr>
      </w:pPr>
      <w:r w:rsidDel="00000000" w:rsidR="00000000" w:rsidRPr="00000000">
        <w:rPr>
          <w:sz w:val="22"/>
          <w:szCs w:val="22"/>
          <w:rtl w:val="0"/>
        </w:rPr>
        <w:t xml:space="preserve">X. volební období</w:t>
      </w:r>
    </w:p>
    <w:p w:rsidR="00000000" w:rsidDel="00000000" w:rsidP="00000000" w:rsidRDefault="00000000" w:rsidRPr="00000000" w14:paraId="00000007">
      <w:pPr>
        <w:spacing w:after="120" w:before="120" w:line="276" w:lineRule="auto"/>
        <w:jc w:val="center"/>
        <w:rPr>
          <w:b w:val="1"/>
          <w:bCs w:val="1"/>
          <w:sz w:val="22"/>
          <w:szCs w:val="22"/>
        </w:rPr>
      </w:pPr>
      <w:r w:rsidDel="00000000" w:rsidR="00000000" w:rsidRPr="00000000">
        <w:rPr>
          <w:sz w:val="22"/>
          <w:szCs w:val="22"/>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08">
      <w:pPr>
        <w:spacing w:after="120" w:before="12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009">
      <w:pPr>
        <w:keepNext w:val="1"/>
        <w:keepLines w:val="1"/>
        <w:widowControl w:val="0"/>
        <w:spacing w:after="120" w:before="120" w:line="276" w:lineRule="auto"/>
        <w:jc w:val="center"/>
        <w:rPr>
          <w:b w:val="1"/>
          <w:bCs w:val="1"/>
          <w:sz w:val="22"/>
          <w:szCs w:val="22"/>
        </w:rPr>
      </w:pPr>
      <w:r w:rsidDel="00000000" w:rsidR="00000000" w:rsidRPr="00000000">
        <w:rPr>
          <w:b w:val="1"/>
          <w:bCs w:val="1"/>
          <w:sz w:val="22"/>
          <w:szCs w:val="22"/>
          <w:rtl w:val="0"/>
        </w:rPr>
        <w:t xml:space="preserve">Pozměňovací návrh poslance Lukáše Vlčka</w:t>
      </w:r>
    </w:p>
    <w:p w:rsidR="00000000" w:rsidDel="00000000" w:rsidP="00000000" w:rsidRDefault="00000000" w:rsidRPr="00000000" w14:paraId="0000000A">
      <w:pPr>
        <w:spacing w:after="120" w:before="12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00B">
      <w:pPr>
        <w:spacing w:after="120" w:before="120" w:line="276" w:lineRule="auto"/>
        <w:jc w:val="center"/>
        <w:rPr>
          <w:b w:val="1"/>
          <w:bCs w:val="1"/>
          <w:sz w:val="22"/>
          <w:szCs w:val="22"/>
        </w:rPr>
      </w:pPr>
      <w:r w:rsidDel="00000000" w:rsidR="00000000" w:rsidRPr="00000000">
        <w:rPr>
          <w:b w:val="1"/>
          <w:bCs w:val="1"/>
          <w:sz w:val="22"/>
          <w:szCs w:val="22"/>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ve znění komplexního pozměňovacího návrhu a dalších schválených pozměňovacích návrhů, schválených na 8. schůzi Hospodářského výboru dne 30. dubna 2026,</w:t>
      </w:r>
    </w:p>
    <w:p w:rsidR="00000000" w:rsidDel="00000000" w:rsidP="00000000" w:rsidRDefault="00000000" w:rsidRPr="00000000" w14:paraId="0000000C">
      <w:pPr>
        <w:spacing w:after="120" w:before="120" w:line="276" w:lineRule="auto"/>
        <w:jc w:val="center"/>
        <w:rPr>
          <w:color w:val="000000"/>
        </w:rPr>
      </w:pPr>
      <w:r w:rsidDel="00000000" w:rsidR="00000000" w:rsidRPr="00000000">
        <w:rPr>
          <w:b w:val="1"/>
          <w:bCs w:val="1"/>
          <w:sz w:val="22"/>
          <w:szCs w:val="22"/>
          <w:rtl w:val="0"/>
        </w:rPr>
        <w:t xml:space="preserve">/sněmovní tisk 67/11/</w:t>
      </w:r>
      <w:r w:rsidDel="00000000" w:rsidR="00000000" w:rsidRPr="00000000">
        <w:rPr>
          <w:rtl w:val="0"/>
        </w:rPr>
      </w:r>
    </w:p>
    <w:p w:rsidR="00000000" w:rsidDel="00000000" w:rsidP="00000000" w:rsidRDefault="00000000" w:rsidRPr="00000000" w14:paraId="0000000D">
      <w:pPr>
        <w:pStyle w:val="Heading1"/>
        <w:jc w:val="center"/>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Úpravy návrhu územně plánovací dokumentace jejím projektantem</w:t>
      </w:r>
    </w:p>
    <w:p w:rsidR="00000000" w:rsidDel="00000000" w:rsidP="00000000" w:rsidRDefault="00000000" w:rsidRPr="00000000" w14:paraId="0000000E">
      <w:pPr>
        <w:pStyle w:val="Heading3"/>
        <w:rPr>
          <w:color w:val="00000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bodě 218 se § 102 odst. 2 se věta první větou</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Pořizovatel může upravit návrh územně plánovací dokumentace o další drobné změny, které se podstatně nedotýkají práv dotčených osob ani veřejných zájmů chráněných dotčenými orgány, a změny odůvodnění.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nenahrazuje.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 první větu se doplňuje věta ve znění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Projektant může na pokyn pořizovatele provést i další drobné změny, které se podstatně nedotýkají práv dotčených osob ani veřejných zájmů chráněných dotčenými orgány, a změny v odůvodnění návrhu územně plánovací dokumentace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Třetí věta se ponechává beze změny.</w:t>
      </w:r>
    </w:p>
    <w:p w:rsidR="00000000" w:rsidDel="00000000" w:rsidP="00000000" w:rsidRDefault="00000000" w:rsidRPr="00000000" w14:paraId="00000014">
      <w:pPr>
        <w:pStyle w:val="Heading1"/>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Odůvodnění</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Novelizační bod 218 navrhuje upravit § 102 odst. 2 stavebního zákona tak, aby pořizovatel mohl přímo provádět drobné změny návrhu územně plánovací dokumentace a změny v jejím odůvodnění. Podle důvodové zprávy je cílem této úpravy zvýšit flexibilitu pořizovatele při reagování na potřebu drobných úprav a odstranit pochybnosti, zda by i v těchto případech bylo nutné opakovat společné jednání nebo veřejné projednání.</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Pozměňovací návrh tento cíl nezpochybňuje, upravuje však způsob jeho dosažení. Územně plánovací dokumentace je odborným dokumentem, jehož zpracování je zákonem svěřeno autorizované osobě – projektantovi územně plánovací dokumentace. Projektant nese odpovědnost za odbornou správnost, úplnost a vnitřní konzistenci návrhu.</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Přímé zásahy pořizovatele do návrhu územně plánovací dokumentace by tuto odpovědnostní vazbu narušovaly. Obsah dokumentace by mohl být měněn osobou, která za jeho odbornou správnost nenese odpovědnost podle zákona č. 360/1992 Sb., o výkonu povolání autorizovaných architektů a o výkonu povolání autorizovaných inženýrů a techniků činných ve výstavbě.</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Navrhovaná úprava proto zachovává možnost provádět drobné změny návrhu územně plánovací dokumentace i změny v jejím odůvodnění, avšak stanoví, že tyto změny provádí projektant jako zpracovatel dokumentace, a to na pokyn pořizovatele. Tím je zachována potřebná flexibilita procesu pořizování územně plánovací dokumentace, aniž by docházelo k narušení odpovědnosti projektanta za odborný obsah dokumentace.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Současně se tím zachovává jasné vymezení rolí jednotlivých aktérů procesu pořizování územně plánovací dokumentace: pořizovatel formuluje pokyny k úpravám, zatímco samotné změny dokumentace provádí projektant jako autorizovaná osoba.</w:t>
      </w:r>
    </w:p>
    <w:p w:rsidR="00000000" w:rsidDel="00000000" w:rsidP="00000000" w:rsidRDefault="00000000" w:rsidRPr="00000000" w14:paraId="0000001B">
      <w:pPr>
        <w:spacing w:after="120" w:before="120" w:line="240" w:lineRule="auto"/>
        <w:rPr/>
      </w:pPr>
      <w:r w:rsidDel="00000000" w:rsidR="00000000" w:rsidRPr="00000000">
        <w:rPr>
          <w:rtl w:val="0"/>
        </w:rPr>
        <w:t xml:space="preserve">V souladu s § 12 odst. 5 zákona č. 168/2025 Sb., o regulaci lobbování, obsahuje odůvodnění tohoto pozměňovacího návrhu informaci podle § 20 odst. 1 písm. j) zákona č. 222/2016 Sb., o Sbírce zákonů a mezinárodních smluv, tj. identifikaci lobbisty, který při přípravě, projednávání nebo schvalování návrhu právního předpisu lobboval. Lobbistou ve smyslu výše uvedeného zákona byla Česká komora architektů, samosprávná stavovská organizace, IČO: 45769371, se sídlem Josefská 34/6, Malá Strana, 11800 Praha 1, evidenční číslo RL1113447490.</w:t>
      </w:r>
    </w:p>
    <w:p w:rsidR="00000000" w:rsidDel="00000000" w:rsidP="00000000" w:rsidRDefault="00000000" w:rsidRPr="00000000" w14:paraId="0000001C">
      <w:pPr>
        <w:pStyle w:val="Heading1"/>
        <w:pageBreakBefore w:val="1"/>
        <w:spacing w:after="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PLATNÉ ZNĚNÍ DOTČENÝCH USTANOVENÍ ZÁKON Č. 283/2021 SB., STAVEBNÍ ZÁKON, VE ZNĚNÍ POZDĚJŠÍCH PŘEDPISŮ, S VYZNAČENÍM NAVRHOVANÝCH ZMĚN</w:t>
      </w:r>
    </w:p>
    <w:bookmarkStart w:colFirst="0" w:colLast="0" w:name="bookmark=id.uckip1jskscs" w:id="0"/>
    <w:bookmarkEnd w:id="0"/>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102</w:t>
      </w:r>
    </w:p>
    <w:p w:rsidR="00000000" w:rsidDel="00000000" w:rsidP="00000000" w:rsidRDefault="00000000" w:rsidRPr="00000000" w14:paraId="0000001F">
      <w:pPr>
        <w:rPr/>
      </w:pPr>
      <w:r w:rsidDel="00000000" w:rsidR="00000000" w:rsidRPr="00000000">
        <w:rPr>
          <w:rtl w:val="0"/>
        </w:rPr>
        <w:t xml:space="preserve">(2) Projektant na základě pokynů podle odstavce 1 upraví návrh územně plánovací dokumentace. </w:t>
      </w:r>
      <w:r w:rsidDel="00000000" w:rsidR="00000000" w:rsidRPr="00000000">
        <w:rPr>
          <w:b w:val="1"/>
          <w:bCs w:val="1"/>
          <w:color w:val="000000"/>
          <w:rtl w:val="0"/>
        </w:rPr>
        <w:t xml:space="preserve">Projektant může na pokyn pořizovatele provést i další drobné změny, které se podstatně nedotýkají práv dotčených osob ani veřejných zájmů chráněných dotčenými orgány, a změny v odůvodnění návrhu územně plánovací dokumentace</w:t>
      </w:r>
      <w:r w:rsidDel="00000000" w:rsidR="00000000" w:rsidRPr="00000000">
        <w:rPr>
          <w:color w:val="000000"/>
          <w:rtl w:val="0"/>
        </w:rPr>
        <w:t xml:space="preserve">. </w:t>
      </w:r>
      <w:r w:rsidDel="00000000" w:rsidR="00000000" w:rsidRPr="00000000">
        <w:rPr>
          <w:rtl w:val="0"/>
        </w:rPr>
        <w:t xml:space="preserve">Obsahoval-li návrh varianty řešení, doplní odůvodnění o schéma variant a zdůvodnění výběru nejvhodnější varianty.</w:t>
      </w:r>
    </w:p>
    <w:p w:rsidR="00000000" w:rsidDel="00000000" w:rsidP="00000000" w:rsidRDefault="00000000" w:rsidRPr="00000000" w14:paraId="00000020">
      <w:pPr>
        <w:rPr/>
      </w:pPr>
      <w:r w:rsidDel="00000000" w:rsidR="00000000" w:rsidRPr="00000000">
        <w:rPr>
          <w:rtl w:val="0"/>
        </w:rPr>
      </w:r>
    </w:p>
    <w:sectPr>
      <w:pgSz w:h="16838" w:w="11906"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cs"/>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p1DBz1K5uzZsynXQoqqgBKZBFA==">CgMxLjAyD2lkLnVja2lwMWpza3NjczgAciExdHBiNW1nQkMxQkhmelpHT0kzMnB5V2pmNjVoMlZqczI=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