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widowControl w:val="0"/>
        <w:pBdr>
          <w:top w:space="0" w:sz="0" w:val="nil"/>
          <w:left w:space="0" w:sz="0" w:val="nil"/>
          <w:bottom w:space="0" w:sz="0" w:val="nil"/>
          <w:right w:space="0" w:sz="0" w:val="nil"/>
          <w:between w:space="0" w:sz="0" w:val="nil"/>
        </w:pBdr>
        <w:spacing w:after="200" w:before="200" w:line="276" w:lineRule="auto"/>
        <w:jc w:val="center"/>
        <w:rPr>
          <w:rFonts w:ascii="Times New Roman" w:cs="Times New Roman" w:eastAsia="Times New Roman" w:hAnsi="Times New Roman"/>
          <w:color w:val="000000"/>
          <w:sz w:val="36"/>
          <w:szCs w:val="36"/>
        </w:rPr>
      </w:pPr>
      <w:bookmarkStart w:colFirst="0" w:colLast="0" w:name="_af3x6yrqedv8" w:id="0"/>
      <w:bookmarkEnd w:id="0"/>
      <w:r w:rsidDel="00000000" w:rsidR="00000000" w:rsidRPr="00000000">
        <w:rPr>
          <w:rFonts w:ascii="Times New Roman" w:cs="Times New Roman" w:eastAsia="Times New Roman" w:hAnsi="Times New Roman"/>
          <w:color w:val="000000"/>
          <w:sz w:val="36"/>
          <w:szCs w:val="36"/>
          <w:rtl w:val="0"/>
        </w:rPr>
        <w:t xml:space="preserve">PARLAMENT ČESKÉ REPUBLIKY</w:t>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tabs>
          <w:tab w:val="center" w:leader="none" w:pos="4536"/>
          <w:tab w:val="right" w:leader="none" w:pos="9072"/>
        </w:tabs>
        <w:spacing w:after="200" w:before="200" w:line="276" w:lineRule="auto"/>
        <w:rPr>
          <w:rFonts w:ascii="Times New Roman" w:cs="Times New Roman" w:eastAsia="Times New Roman" w:hAnsi="Times New Roman"/>
          <w:color w:val="000000"/>
          <w:sz w:val="36"/>
          <w:szCs w:val="36"/>
        </w:rPr>
      </w:pPr>
      <w:r w:rsidDel="00000000" w:rsidR="00000000" w:rsidRPr="00000000">
        <w:rPr>
          <w:rFonts w:ascii="Times New Roman" w:cs="Times New Roman" w:eastAsia="Times New Roman" w:hAnsi="Times New Roman"/>
          <w:color w:val="000000"/>
          <w:sz w:val="36"/>
          <w:szCs w:val="36"/>
          <w:rtl w:val="0"/>
        </w:rPr>
        <w:tab/>
        <w:t xml:space="preserve">Poslanecká sněmovna</w:t>
        <w:tab/>
      </w:r>
    </w:p>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after="200" w:before="200" w:line="276" w:lineRule="auto"/>
        <w:jc w:val="center"/>
        <w:rPr>
          <w:rFonts w:ascii="Times New Roman" w:cs="Times New Roman" w:eastAsia="Times New Roman" w:hAnsi="Times New Roman"/>
          <w:color w:val="000000"/>
          <w:sz w:val="36"/>
          <w:szCs w:val="36"/>
        </w:rPr>
      </w:pPr>
      <w:r w:rsidDel="00000000" w:rsidR="00000000" w:rsidRPr="00000000">
        <w:rPr>
          <w:rFonts w:ascii="Times New Roman" w:cs="Times New Roman" w:eastAsia="Times New Roman" w:hAnsi="Times New Roman"/>
          <w:color w:val="000000"/>
          <w:sz w:val="36"/>
          <w:szCs w:val="36"/>
          <w:rtl w:val="0"/>
        </w:rPr>
        <w:t xml:space="preserve">20</w:t>
      </w:r>
      <w:r w:rsidDel="00000000" w:rsidR="00000000" w:rsidRPr="00000000">
        <w:rPr>
          <w:rFonts w:ascii="Times New Roman" w:cs="Times New Roman" w:eastAsia="Times New Roman" w:hAnsi="Times New Roman"/>
          <w:sz w:val="36"/>
          <w:szCs w:val="36"/>
          <w:rtl w:val="0"/>
        </w:rPr>
        <w:t xml:space="preserve">26</w:t>
      </w:r>
      <w:r w:rsidDel="00000000" w:rsidR="00000000" w:rsidRPr="00000000">
        <w:rPr>
          <w:rtl w:val="0"/>
        </w:rPr>
      </w:r>
    </w:p>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spacing w:after="200" w:before="200" w:line="276"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X</w:t>
      </w:r>
      <w:r w:rsidDel="00000000" w:rsidR="00000000" w:rsidRPr="00000000">
        <w:rPr>
          <w:rFonts w:ascii="Times New Roman" w:cs="Times New Roman" w:eastAsia="Times New Roman" w:hAnsi="Times New Roman"/>
          <w:color w:val="000000"/>
          <w:sz w:val="36"/>
          <w:szCs w:val="36"/>
          <w:rtl w:val="0"/>
        </w:rPr>
        <w:t xml:space="preserve">. volební období</w:t>
      </w:r>
      <w:r w:rsidDel="00000000" w:rsidR="00000000" w:rsidRPr="00000000">
        <w:rPr>
          <w:rtl w:val="0"/>
        </w:rPr>
      </w:r>
    </w:p>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spacing w:after="200" w:before="200" w:line="276"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___________________________________________________________</w:t>
      </w:r>
    </w:p>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spacing w:after="200" w:before="200" w:line="276" w:lineRule="auto"/>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pacing w:after="200" w:before="200" w:line="276" w:lineRule="auto"/>
        <w:jc w:val="center"/>
        <w:rPr>
          <w:rFonts w:ascii="Times New Roman" w:cs="Times New Roman" w:eastAsia="Times New Roman" w:hAnsi="Times New Roman"/>
          <w:b w:val="0"/>
          <w:bCs w:val="0"/>
          <w:color w:val="000000"/>
          <w:sz w:val="28"/>
          <w:szCs w:val="28"/>
        </w:rPr>
      </w:pPr>
      <w:r w:rsidDel="00000000" w:rsidR="00000000" w:rsidRPr="00000000">
        <w:rPr>
          <w:rtl w:val="0"/>
        </w:rPr>
      </w:r>
    </w:p>
    <w:p w:rsidR="00000000" w:rsidDel="00000000" w:rsidP="00000000" w:rsidRDefault="00000000" w:rsidRPr="00000000" w14:paraId="00000008">
      <w:pPr>
        <w:keepNext w:val="1"/>
        <w:keepLines w:val="1"/>
        <w:widowControl w:val="0"/>
        <w:pBdr>
          <w:top w:space="0" w:sz="0" w:val="nil"/>
          <w:left w:space="0" w:sz="0" w:val="nil"/>
          <w:bottom w:space="0" w:sz="0" w:val="nil"/>
          <w:right w:space="0" w:sz="0" w:val="nil"/>
          <w:between w:space="0" w:sz="0" w:val="nil"/>
        </w:pBdr>
        <w:spacing w:after="200" w:before="200" w:line="276"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color w:val="000000"/>
          <w:sz w:val="32"/>
          <w:szCs w:val="32"/>
          <w:rtl w:val="0"/>
        </w:rPr>
        <w:t xml:space="preserve">Pozměňovací návrh </w:t>
      </w:r>
      <w:r w:rsidDel="00000000" w:rsidR="00000000" w:rsidRPr="00000000">
        <w:rPr>
          <w:rtl w:val="0"/>
        </w:rPr>
      </w:r>
    </w:p>
    <w:p w:rsidR="00000000" w:rsidDel="00000000" w:rsidP="00000000" w:rsidRDefault="00000000" w:rsidRPr="00000000" w14:paraId="00000009">
      <w:pPr>
        <w:keepNext w:val="1"/>
        <w:keepLines w:val="1"/>
        <w:widowControl w:val="0"/>
        <w:spacing w:after="200" w:before="240" w:line="276" w:lineRule="auto"/>
        <w:jc w:val="center"/>
        <w:rPr>
          <w:rFonts w:ascii="Times New Roman" w:cs="Times New Roman" w:eastAsia="Times New Roman" w:hAnsi="Times New Roman"/>
          <w:b w:val="0"/>
          <w:bCs w:val="0"/>
          <w:sz w:val="32"/>
          <w:szCs w:val="32"/>
        </w:rPr>
      </w:pPr>
      <w:r w:rsidDel="00000000" w:rsidR="00000000" w:rsidRPr="00000000">
        <w:rPr>
          <w:rFonts w:ascii="Times New Roman" w:cs="Times New Roman" w:eastAsia="Times New Roman" w:hAnsi="Times New Roman"/>
          <w:b w:val="0"/>
          <w:bCs w:val="0"/>
          <w:sz w:val="32"/>
          <w:szCs w:val="32"/>
          <w:rtl w:val="0"/>
        </w:rPr>
        <w:t xml:space="preserve">poslankyň a poslanců</w:t>
      </w:r>
    </w:p>
    <w:p w:rsidR="00000000" w:rsidDel="00000000" w:rsidP="00000000" w:rsidRDefault="00000000" w:rsidRPr="00000000" w14:paraId="0000000A">
      <w:pPr>
        <w:keepNext w:val="1"/>
        <w:keepLines w:val="1"/>
        <w:widowControl w:val="0"/>
        <w:spacing w:after="200" w:before="240" w:line="276"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0"/>
          <w:bCs w:val="0"/>
          <w:sz w:val="32"/>
          <w:szCs w:val="32"/>
          <w:rtl w:val="0"/>
        </w:rPr>
        <w:t xml:space="preserve">Veroniky Kovářové, Zdeňka Hřiba, Andrey Hoffmanové, Barbory Pipášové a Ivana Bartoše</w:t>
      </w:r>
      <w:r w:rsidDel="00000000" w:rsidR="00000000" w:rsidRPr="00000000">
        <w:rPr>
          <w:rtl w:val="0"/>
        </w:rPr>
      </w:r>
    </w:p>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spacing w:after="200" w:before="200" w:line="276" w:lineRule="auto"/>
        <w:jc w:val="center"/>
        <w:rPr>
          <w:rFonts w:ascii="Times New Roman" w:cs="Times New Roman" w:eastAsia="Times New Roman" w:hAnsi="Times New Roman"/>
          <w:b w:val="0"/>
          <w:bCs w:val="0"/>
          <w:color w:val="000000"/>
          <w:sz w:val="28"/>
          <w:szCs w:val="28"/>
        </w:rPr>
      </w:pPr>
      <w:r w:rsidDel="00000000" w:rsidR="00000000" w:rsidRPr="00000000">
        <w:rPr>
          <w:rtl w:val="0"/>
        </w:rPr>
      </w:r>
    </w:p>
    <w:p w:rsidR="00000000" w:rsidDel="00000000" w:rsidP="00000000" w:rsidRDefault="00000000" w:rsidRPr="00000000" w14:paraId="0000000C">
      <w:pPr>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 komplexnímu pozměňovacímu návrhu uvedenému v usnesení hospodářského výboru č. 55 ze dne 30. dubna 2026</w:t>
      </w:r>
    </w:p>
    <w:p w:rsidR="00000000" w:rsidDel="00000000" w:rsidP="00000000" w:rsidRDefault="00000000" w:rsidRPr="00000000" w14:paraId="0000000D">
      <w:pPr>
        <w:spacing w:after="12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spacing w:after="120" w:line="276" w:lineRule="auto"/>
        <w:jc w:val="center"/>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rtl w:val="0"/>
        </w:rPr>
        <w:t xml:space="preserve">[k návrhu poslanců Andreje Babiše, Karla Havlíčka, Tomia Okamury, Petra Macinky, Aleny Schillerové, Zuzany Schwarz Bařtipánové, Radima Fialy, Borise Šťastného, Vojtěcha Krňanského a Marie Pošarové na vydání zákona, kterým se mění zákon č. 283/2021 Sb., stavební zákon, ve znění pozdějších předpisů, a některé další související zákony]</w:t>
      </w:r>
      <w:r w:rsidDel="00000000" w:rsidR="00000000" w:rsidRPr="00000000">
        <w:rPr>
          <w:rtl w:val="0"/>
        </w:rPr>
      </w:r>
    </w:p>
    <w:p w:rsidR="00000000" w:rsidDel="00000000" w:rsidP="00000000" w:rsidRDefault="00000000" w:rsidRPr="00000000" w14:paraId="0000000F">
      <w:pPr>
        <w:spacing w:after="200" w:before="20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widowControl w:val="0"/>
        <w:pBdr>
          <w:top w:space="0" w:sz="0" w:val="nil"/>
          <w:left w:space="0" w:sz="0" w:val="nil"/>
          <w:bottom w:space="0" w:sz="0" w:val="nil"/>
          <w:right w:space="0" w:sz="0" w:val="nil"/>
          <w:between w:space="0" w:sz="0" w:val="nil"/>
        </w:pBdr>
        <w:spacing w:after="200" w:before="200" w:line="276" w:lineRule="auto"/>
        <w:jc w:val="both"/>
        <w:rPr>
          <w:rFonts w:ascii="Times New Roman" w:cs="Times New Roman" w:eastAsia="Times New Roman" w:hAnsi="Times New Roman"/>
          <w:color w:val="000000"/>
          <w:sz w:val="30"/>
          <w:szCs w:val="30"/>
        </w:rPr>
      </w:pPr>
      <w:r w:rsidDel="00000000" w:rsidR="00000000" w:rsidRPr="00000000">
        <w:rPr>
          <w:rtl w:val="0"/>
        </w:rPr>
      </w:r>
    </w:p>
    <w:p w:rsidR="00000000" w:rsidDel="00000000" w:rsidP="00000000" w:rsidRDefault="00000000" w:rsidRPr="00000000" w14:paraId="00000011">
      <w:pPr>
        <w:widowControl w:val="0"/>
        <w:pBdr>
          <w:top w:space="0" w:sz="0" w:val="nil"/>
          <w:left w:space="0" w:sz="0" w:val="nil"/>
          <w:bottom w:space="0" w:sz="0" w:val="nil"/>
          <w:right w:space="0" w:sz="0" w:val="nil"/>
          <w:between w:space="0" w:sz="0" w:val="nil"/>
        </w:pBdr>
        <w:spacing w:after="200" w:before="200" w:line="276" w:lineRule="auto"/>
        <w:jc w:val="center"/>
        <w:rPr>
          <w:rFonts w:ascii="Times New Roman" w:cs="Times New Roman" w:eastAsia="Times New Roman" w:hAnsi="Times New Roman"/>
          <w:color w:val="000000"/>
          <w:sz w:val="40"/>
          <w:szCs w:val="40"/>
        </w:rPr>
      </w:pPr>
      <w:r w:rsidDel="00000000" w:rsidR="00000000" w:rsidRPr="00000000">
        <w:rPr>
          <w:rFonts w:ascii="Times New Roman" w:cs="Times New Roman" w:eastAsia="Times New Roman" w:hAnsi="Times New Roman"/>
          <w:color w:val="000000"/>
          <w:sz w:val="40"/>
          <w:szCs w:val="40"/>
          <w:rtl w:val="0"/>
        </w:rPr>
        <w:t xml:space="preserve">ST </w:t>
      </w:r>
      <w:r w:rsidDel="00000000" w:rsidR="00000000" w:rsidRPr="00000000">
        <w:rPr>
          <w:rFonts w:ascii="Times New Roman" w:cs="Times New Roman" w:eastAsia="Times New Roman" w:hAnsi="Times New Roman"/>
          <w:sz w:val="40"/>
          <w:szCs w:val="40"/>
          <w:rtl w:val="0"/>
        </w:rPr>
        <w:t xml:space="preserve">67/11</w:t>
      </w:r>
      <w:r w:rsidDel="00000000" w:rsidR="00000000" w:rsidRPr="00000000">
        <w:rPr>
          <w:rtl w:val="0"/>
        </w:rPr>
      </w:r>
    </w:p>
    <w:p w:rsidR="00000000" w:rsidDel="00000000" w:rsidP="00000000" w:rsidRDefault="00000000" w:rsidRPr="00000000" w14:paraId="00000012">
      <w:pPr>
        <w:widowControl w:val="0"/>
        <w:pBdr>
          <w:top w:space="0" w:sz="0" w:val="nil"/>
          <w:left w:space="0" w:sz="0" w:val="nil"/>
          <w:bottom w:space="0" w:sz="0" w:val="nil"/>
          <w:right w:space="0" w:sz="0" w:val="nil"/>
          <w:between w:space="0" w:sz="0" w:val="nil"/>
        </w:pBdr>
        <w:spacing w:after="200" w:before="200" w:line="276"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3">
      <w:pPr>
        <w:widowControl w:val="0"/>
        <w:pBdr>
          <w:top w:space="0" w:sz="0" w:val="nil"/>
          <w:left w:space="0" w:sz="0" w:val="nil"/>
          <w:bottom w:space="0" w:sz="0" w:val="nil"/>
          <w:right w:space="0" w:sz="0" w:val="nil"/>
          <w:between w:space="0" w:sz="0" w:val="nil"/>
        </w:pBdr>
        <w:spacing w:after="200" w:before="200" w:line="276" w:lineRule="auto"/>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4">
      <w:pPr>
        <w:widowControl w:val="0"/>
        <w:spacing w:after="200" w:before="20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widowControl w:val="0"/>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Datum: </w:t>
      </w:r>
      <w:r w:rsidDel="00000000" w:rsidR="00000000" w:rsidRPr="00000000">
        <w:rPr>
          <w:rFonts w:ascii="Times New Roman" w:cs="Times New Roman" w:eastAsia="Times New Roman" w:hAnsi="Times New Roman"/>
          <w:b w:val="0"/>
          <w:bCs w:val="0"/>
          <w:rtl w:val="0"/>
        </w:rPr>
        <w:t xml:space="preserve">27. 5. 2026</w:t>
      </w:r>
      <w:r w:rsidDel="00000000" w:rsidR="00000000" w:rsidRPr="00000000">
        <w:br w:type="page"/>
      </w:r>
      <w:r w:rsidDel="00000000" w:rsidR="00000000" w:rsidRPr="00000000">
        <w:rPr>
          <w:rtl w:val="0"/>
        </w:rPr>
      </w:r>
    </w:p>
    <w:p w:rsidR="00000000" w:rsidDel="00000000" w:rsidP="00000000" w:rsidRDefault="00000000" w:rsidRPr="00000000" w14:paraId="00000016">
      <w:pPr>
        <w:widowControl w:val="0"/>
        <w:spacing w:after="200" w:before="200" w:line="276" w:lineRule="auto"/>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V části první v Čl. I komplexního pozměňovacího návrhu uvedeného v usnesení hospodářského výboru č. 55 ze dne 30. dubna 2026 k návrhu poslanců Andreje Babiše, Karla Havlíčka, Tomia Okamury, Petra Macinky, Aleny Schillerové, Zuzany Schwarz Bařtipánové, Radima Fialy, Borise Šťastného, Vojtěcha Krňanského a Marie Pošarové na vydání zákona, kterým se mění zákon č. 283/2021 Sb., stavební zákon, ve znění pozdějších předpisů, a některé další související zákony (sněmovní tisk 67/11), se za bod 646 vkládají nové body 647 a 648, které znějí:</w:t>
      </w:r>
    </w:p>
    <w:p w:rsidR="00000000" w:rsidDel="00000000" w:rsidP="00000000" w:rsidRDefault="00000000" w:rsidRPr="00000000" w14:paraId="00000017">
      <w:pPr>
        <w:widowControl w:val="0"/>
        <w:pBdr>
          <w:top w:space="0" w:sz="0" w:val="nil"/>
          <w:left w:space="0" w:sz="0" w:val="nil"/>
          <w:bottom w:space="0" w:sz="0" w:val="nil"/>
          <w:right w:space="0" w:sz="0" w:val="nil"/>
          <w:between w:space="0" w:sz="0" w:val="nil"/>
        </w:pBdr>
        <w:spacing w:after="200" w:before="200" w:line="276" w:lineRule="auto"/>
        <w:ind w:left="0" w:firstLine="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„647. V příloze č. 1 odst. 1 písm. g) bodě 7 se druhé slovo „nebo“ nahrazuje čárkou, slovo „anebo“ se nahrazuje slovem „nebo“ a na konci textu bodu se čárka nahrazuje slovy „anebo při nichž se mění materiál či vzhled povrchu komunikace bez většího vlivu na bezpečnost provozu na pozemní komunikaci nebo zvýšení původní nivelity nepřesáhne 12 cm, jde-li o komunikaci  s přímo přilehlou zástavbou, nemění-li se podstatně přístup nebo příjezd na přímo sousedící nemovitosti, nebo přímo přilehlými chodníky, mimo železniční přejezdy, mosty, podjezdy nebo tunely,“.</w:t>
      </w:r>
    </w:p>
    <w:p w:rsidR="00000000" w:rsidDel="00000000" w:rsidP="00000000" w:rsidRDefault="00000000" w:rsidRPr="00000000" w14:paraId="00000018">
      <w:pPr>
        <w:widowControl w:val="0"/>
        <w:pBdr>
          <w:top w:space="0" w:sz="0" w:val="nil"/>
          <w:left w:space="0" w:sz="0" w:val="nil"/>
          <w:bottom w:space="0" w:sz="0" w:val="nil"/>
          <w:right w:space="0" w:sz="0" w:val="nil"/>
          <w:between w:space="0" w:sz="0" w:val="nil"/>
        </w:pBdr>
        <w:spacing w:after="200" w:before="200" w:line="276" w:lineRule="auto"/>
        <w:ind w:left="0" w:firstLine="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648. V příloze č. 1 odst. 1 písm. g) se doplňuje bod 9, který zní:</w:t>
      </w:r>
    </w:p>
    <w:p w:rsidR="00000000" w:rsidDel="00000000" w:rsidP="00000000" w:rsidRDefault="00000000" w:rsidRPr="00000000" w14:paraId="00000019">
      <w:pPr>
        <w:widowControl w:val="0"/>
        <w:pBdr>
          <w:top w:space="0" w:sz="0" w:val="nil"/>
          <w:left w:space="0" w:sz="0" w:val="nil"/>
          <w:bottom w:space="0" w:sz="0" w:val="nil"/>
          <w:right w:space="0" w:sz="0" w:val="nil"/>
          <w:between w:space="0" w:sz="0" w:val="nil"/>
        </w:pBdr>
        <w:spacing w:after="200" w:before="200" w:line="276" w:lineRule="auto"/>
        <w:ind w:left="0" w:firstLine="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„9. stavební úpravy silnice a místní komunikace, na kterých smí jet řidič rychlostí nejvýše 50 km.h-1,  spočívající v osazení nebo odstranění baliset či obdobných sloupků, zábradlí, stojanů pro jízdní kola nebo obdobných prvků, pokud nezasahují do jízdního pruhu,“.“. </w:t>
      </w:r>
    </w:p>
    <w:p w:rsidR="00000000" w:rsidDel="00000000" w:rsidP="00000000" w:rsidRDefault="00000000" w:rsidRPr="00000000" w14:paraId="0000001A">
      <w:pPr>
        <w:spacing w:after="200" w:before="200" w:line="276" w:lineRule="auto"/>
        <w:ind w:left="0" w:firstLine="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Dosavadní body se přečíslují.</w:t>
      </w:r>
    </w:p>
    <w:p w:rsidR="00000000" w:rsidDel="00000000" w:rsidP="00000000" w:rsidRDefault="00000000" w:rsidRPr="00000000" w14:paraId="0000001B">
      <w:pPr>
        <w:pageBreakBefore w:val="1"/>
        <w:widowControl w:val="0"/>
        <w:pBdr>
          <w:top w:space="0" w:sz="0" w:val="nil"/>
          <w:left w:space="0" w:sz="0" w:val="nil"/>
          <w:bottom w:space="0" w:sz="0" w:val="nil"/>
          <w:right w:space="0" w:sz="0" w:val="nil"/>
          <w:between w:space="0" w:sz="0" w:val="nil"/>
        </w:pBdr>
        <w:spacing w:after="200" w:before="200" w:line="276" w:lineRule="auto"/>
        <w:jc w:val="center"/>
        <w:rPr>
          <w:rFonts w:ascii="Times New Roman" w:cs="Times New Roman" w:eastAsia="Times New Roman" w:hAnsi="Times New Roman"/>
          <w:b w:val="0"/>
          <w:bCs w:val="0"/>
          <w:highlight w:val="white"/>
        </w:rPr>
      </w:pPr>
      <w:r w:rsidDel="00000000" w:rsidR="00000000" w:rsidRPr="00000000">
        <w:rPr>
          <w:rFonts w:ascii="Times New Roman" w:cs="Times New Roman" w:eastAsia="Times New Roman" w:hAnsi="Times New Roman"/>
          <w:color w:val="000000"/>
          <w:rtl w:val="0"/>
        </w:rPr>
        <w:t xml:space="preserve">O d ů v o d n ě n í:</w:t>
      </w:r>
      <w:r w:rsidDel="00000000" w:rsidR="00000000" w:rsidRPr="00000000">
        <w:rPr>
          <w:rtl w:val="0"/>
        </w:rPr>
      </w:r>
    </w:p>
    <w:p w:rsidR="00000000" w:rsidDel="00000000" w:rsidP="00000000" w:rsidRDefault="00000000" w:rsidRPr="00000000" w14:paraId="0000001C">
      <w:pPr>
        <w:spacing w:after="200" w:before="200" w:line="276" w:lineRule="auto"/>
        <w:jc w:val="both"/>
        <w:rPr>
          <w:rFonts w:ascii="Times New Roman" w:cs="Times New Roman" w:eastAsia="Times New Roman" w:hAnsi="Times New Roman"/>
          <w:b w:val="0"/>
          <w:bCs w:val="0"/>
          <w:highlight w:val="white"/>
        </w:rPr>
      </w:pPr>
      <w:r w:rsidDel="00000000" w:rsidR="00000000" w:rsidRPr="00000000">
        <w:rPr>
          <w:rFonts w:ascii="Times New Roman" w:cs="Times New Roman" w:eastAsia="Times New Roman" w:hAnsi="Times New Roman"/>
          <w:b w:val="0"/>
          <w:bCs w:val="0"/>
          <w:highlight w:val="white"/>
          <w:rtl w:val="0"/>
        </w:rPr>
        <w:t xml:space="preserve">Pozměňovací návrh reaguje na skutečnost, že navrhovaná novela nikterak neřeší, jak zrychlit proces povolení úprav uličního prostoru spočívajících zejména ve změnách povrchu (typicky asfalt za dlažbu), nivelity (srovnání vozovky a chodníků do jedné roviny) a organizace a vzhledu veřejného prostranství (zvýraznění prostoru určeného pro jízdu vozidel či jejich parkování balisetami či jinými sloupky, osazení květináčů atd.).</w:t>
      </w:r>
    </w:p>
    <w:p w:rsidR="00000000" w:rsidDel="00000000" w:rsidP="00000000" w:rsidRDefault="00000000" w:rsidRPr="00000000" w14:paraId="0000001D">
      <w:pPr>
        <w:spacing w:after="200" w:before="200" w:line="276" w:lineRule="auto"/>
        <w:jc w:val="both"/>
        <w:rPr>
          <w:rFonts w:ascii="Times New Roman" w:cs="Times New Roman" w:eastAsia="Times New Roman" w:hAnsi="Times New Roman"/>
          <w:b w:val="0"/>
          <w:bCs w:val="0"/>
          <w:highlight w:val="white"/>
        </w:rPr>
      </w:pPr>
      <w:r w:rsidDel="00000000" w:rsidR="00000000" w:rsidRPr="00000000">
        <w:rPr>
          <w:rFonts w:ascii="Times New Roman" w:cs="Times New Roman" w:eastAsia="Times New Roman" w:hAnsi="Times New Roman"/>
          <w:b w:val="0"/>
          <w:bCs w:val="0"/>
          <w:highlight w:val="white"/>
          <w:rtl w:val="0"/>
        </w:rPr>
        <w:t xml:space="preserve">Cílem návrhu je zrychlit a zefektivnit postup vlastníků pozemních komunikací, zejména obcí a měst, při úpravách a kultivaci ulic. Změny, jejichž zrychlení navržený pozměňovací návrh řeší, se nedotýkají změn geometrie křižovatek či jízdních pruhů nebo dopravně technických kvalit komunikací.</w:t>
      </w:r>
    </w:p>
    <w:p w:rsidR="00000000" w:rsidDel="00000000" w:rsidP="00000000" w:rsidRDefault="00000000" w:rsidRPr="00000000" w14:paraId="0000001E">
      <w:pPr>
        <w:spacing w:after="200" w:before="200" w:line="276" w:lineRule="auto"/>
        <w:jc w:val="both"/>
        <w:rPr>
          <w:rFonts w:ascii="Times New Roman" w:cs="Times New Roman" w:eastAsia="Times New Roman" w:hAnsi="Times New Roman"/>
          <w:b w:val="0"/>
          <w:bCs w:val="0"/>
          <w:highlight w:val="white"/>
        </w:rPr>
      </w:pPr>
      <w:r w:rsidDel="00000000" w:rsidR="00000000" w:rsidRPr="00000000">
        <w:rPr>
          <w:rFonts w:ascii="Times New Roman" w:cs="Times New Roman" w:eastAsia="Times New Roman" w:hAnsi="Times New Roman"/>
          <w:b w:val="0"/>
          <w:bCs w:val="0"/>
          <w:highlight w:val="white"/>
          <w:rtl w:val="0"/>
        </w:rPr>
        <w:t xml:space="preserve">Návrh zařazuje mezi drobné stavby, které nevyžadují stavební povolení, vyjmenované úpravy pozemních komunikací (úpravy povrhu, zvýšení nivelit, osazení některých prvků). Ve výčtu prvků se nacházejí i takové, které typicky nejsou stavbami (tedy neodpovídají definici obsažené v § 5 odst. 1 stavebního zákona), ale které by jimi být podle svého provedení v některých případech mohly, popřípadě by v hraničních případech o jejich povaze panovaly pochybnosti. Tyto pochybnosti jsou co do svých negativních dopadů odstraněny rozšířeným výčtem prvků, které, jsou-li stavbami, jsou stavbami drobnými.</w:t>
      </w:r>
    </w:p>
    <w:p w:rsidR="00000000" w:rsidDel="00000000" w:rsidP="00000000" w:rsidRDefault="00000000" w:rsidRPr="00000000" w14:paraId="0000001F">
      <w:pPr>
        <w:spacing w:after="200" w:before="200" w:line="276" w:lineRule="auto"/>
        <w:jc w:val="both"/>
        <w:rPr>
          <w:rFonts w:ascii="Times New Roman" w:cs="Times New Roman" w:eastAsia="Times New Roman" w:hAnsi="Times New Roman"/>
          <w:b w:val="0"/>
          <w:bCs w:val="0"/>
          <w:highlight w:val="white"/>
        </w:rPr>
      </w:pPr>
      <w:r w:rsidDel="00000000" w:rsidR="00000000" w:rsidRPr="00000000">
        <w:rPr>
          <w:rFonts w:ascii="Times New Roman" w:cs="Times New Roman" w:eastAsia="Times New Roman" w:hAnsi="Times New Roman"/>
          <w:b w:val="0"/>
          <w:bCs w:val="0"/>
          <w:highlight w:val="white"/>
          <w:rtl w:val="0"/>
        </w:rPr>
        <w:t xml:space="preserve">Rozšířením výčtu drobných staveb dle tohoto návrhu nejsou dotčeny případné povinnosti podle jiných právních předpisů, např. dle zákona č. 13/1997 Sb., o pozemních komunikacích. Ovšem dle § 32a tohoto zákona se ani na nově stanovené kategorie drobných staveb nevztahuje povinnost obstarat si </w:t>
      </w:r>
      <w:r w:rsidDel="00000000" w:rsidR="00000000" w:rsidRPr="00000000">
        <w:rPr>
          <w:rFonts w:ascii="Times New Roman" w:cs="Times New Roman" w:eastAsia="Times New Roman" w:hAnsi="Times New Roman"/>
          <w:b w:val="0"/>
          <w:bCs w:val="0"/>
          <w:rtl w:val="0"/>
        </w:rPr>
        <w:t xml:space="preserve">písemný souhlas s umístěním stavby v ochranném pásmu.</w:t>
      </w:r>
      <w:r w:rsidDel="00000000" w:rsidR="00000000" w:rsidRPr="00000000">
        <w:rPr>
          <w:rtl w:val="0"/>
        </w:rPr>
      </w:r>
    </w:p>
    <w:p w:rsidR="00000000" w:rsidDel="00000000" w:rsidP="00000000" w:rsidRDefault="00000000" w:rsidRPr="00000000" w14:paraId="00000020">
      <w:pPr>
        <w:spacing w:after="200" w:before="200" w:line="276"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K novému bodu 547 (</w:t>
      </w:r>
      <w:r w:rsidDel="00000000" w:rsidR="00000000" w:rsidRPr="00000000">
        <w:rPr>
          <w:rFonts w:ascii="Times New Roman" w:cs="Times New Roman" w:eastAsia="Times New Roman" w:hAnsi="Times New Roman"/>
          <w:rtl w:val="0"/>
        </w:rPr>
        <w:t xml:space="preserve">příloha č. 1 odst. 1 písm. g) bod 7</w:t>
      </w:r>
      <w:r w:rsidDel="00000000" w:rsidR="00000000" w:rsidRPr="00000000">
        <w:rPr>
          <w:rFonts w:ascii="Times New Roman" w:cs="Times New Roman" w:eastAsia="Times New Roman" w:hAnsi="Times New Roman"/>
          <w:highlight w:val="white"/>
          <w:rtl w:val="0"/>
        </w:rPr>
        <w:t xml:space="preserve">)</w:t>
      </w:r>
    </w:p>
    <w:p w:rsidR="00000000" w:rsidDel="00000000" w:rsidP="00000000" w:rsidRDefault="00000000" w:rsidRPr="00000000" w14:paraId="00000021">
      <w:pPr>
        <w:spacing w:after="200" w:before="200" w:line="276" w:lineRule="auto"/>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Navrhuje se zařadit mezi drobné stavby zvýšení (a nikoliv snížení) nivelity vybraných pozemních komunikací. Zvýšením nivelity nemůže dojít k ohrožení sítí technické infrastruktury uložených pod povrchem komunikace. Navrhovaná hranice zvýšení nivelity, kdy je stavba ještě stavbou drobnou, odpovídá obvyklé výšce obrubníku.</w:t>
      </w:r>
    </w:p>
    <w:p w:rsidR="00000000" w:rsidDel="00000000" w:rsidP="00000000" w:rsidRDefault="00000000" w:rsidRPr="00000000" w14:paraId="00000022">
      <w:pPr>
        <w:spacing w:after="200" w:before="200" w:line="276"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K novému bodu 548 (</w:t>
      </w:r>
      <w:r w:rsidDel="00000000" w:rsidR="00000000" w:rsidRPr="00000000">
        <w:rPr>
          <w:rFonts w:ascii="Times New Roman" w:cs="Times New Roman" w:eastAsia="Times New Roman" w:hAnsi="Times New Roman"/>
          <w:rtl w:val="0"/>
        </w:rPr>
        <w:t xml:space="preserve">příloha č. 1 odst. 1 písm. g) bod 9</w:t>
      </w:r>
      <w:r w:rsidDel="00000000" w:rsidR="00000000" w:rsidRPr="00000000">
        <w:rPr>
          <w:rFonts w:ascii="Times New Roman" w:cs="Times New Roman" w:eastAsia="Times New Roman" w:hAnsi="Times New Roman"/>
          <w:highlight w:val="white"/>
          <w:rtl w:val="0"/>
        </w:rPr>
        <w:t xml:space="preserve">)</w:t>
      </w:r>
    </w:p>
    <w:p w:rsidR="00000000" w:rsidDel="00000000" w:rsidP="00000000" w:rsidRDefault="00000000" w:rsidRPr="00000000" w14:paraId="00000023">
      <w:pPr>
        <w:spacing w:after="200" w:before="200" w:line="276" w:lineRule="auto"/>
        <w:jc w:val="both"/>
        <w:rPr>
          <w:rFonts w:ascii="Times New Roman" w:cs="Times New Roman" w:eastAsia="Times New Roman" w:hAnsi="Times New Roman"/>
          <w:b w:val="0"/>
          <w:bCs w:val="0"/>
          <w:highlight w:val="white"/>
        </w:rPr>
      </w:pPr>
      <w:r w:rsidDel="00000000" w:rsidR="00000000" w:rsidRPr="00000000">
        <w:rPr>
          <w:rFonts w:ascii="Times New Roman" w:cs="Times New Roman" w:eastAsia="Times New Roman" w:hAnsi="Times New Roman"/>
          <w:b w:val="0"/>
          <w:bCs w:val="0"/>
          <w:rtl w:val="0"/>
        </w:rPr>
        <w:t xml:space="preserve">Za podmínky, že není zasaženo do jízdního pruhu, bude nově možné bez přivolení stavebního úřadu umisťovat na pozemní komunikace (tedy zejména na chodníky) sloupky a další vyjmenované prvky. Z důvodu, aby nebyl snížen standard bezpečnosti provozu na pozemních komunikacích, se za drobnou stavbu bude považovat jen odpovídající úprava na komunikaci s nejvyšší povolenou rychlostí do 50 km.h</w:t>
      </w:r>
      <w:r w:rsidDel="00000000" w:rsidR="00000000" w:rsidRPr="00000000">
        <w:rPr>
          <w:rFonts w:ascii="Times New Roman" w:cs="Times New Roman" w:eastAsia="Times New Roman" w:hAnsi="Times New Roman"/>
          <w:b w:val="0"/>
          <w:bCs w:val="0"/>
          <w:vertAlign w:val="superscript"/>
          <w:rtl w:val="0"/>
        </w:rPr>
        <w:t xml:space="preserve">-1</w:t>
      </w:r>
      <w:r w:rsidDel="00000000" w:rsidR="00000000" w:rsidRPr="00000000">
        <w:rPr>
          <w:rFonts w:ascii="Times New Roman" w:cs="Times New Roman" w:eastAsia="Times New Roman" w:hAnsi="Times New Roman"/>
          <w:b w:val="0"/>
          <w:bCs w:val="0"/>
          <w:rtl w:val="0"/>
        </w:rPr>
        <w:t xml:space="preserve">, tedy zejména v obcích.</w:t>
      </w:r>
      <w:r w:rsidDel="00000000" w:rsidR="00000000" w:rsidRPr="00000000">
        <w:br w:type="page"/>
      </w:r>
      <w:r w:rsidDel="00000000" w:rsidR="00000000" w:rsidRPr="00000000">
        <w:rPr>
          <w:rtl w:val="0"/>
        </w:rPr>
      </w:r>
    </w:p>
    <w:p w:rsidR="00000000" w:rsidDel="00000000" w:rsidP="00000000" w:rsidRDefault="00000000" w:rsidRPr="00000000" w14:paraId="00000024">
      <w:pP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Platné znění </w:t>
      </w:r>
      <w:r w:rsidDel="00000000" w:rsidR="00000000" w:rsidRPr="00000000">
        <w:rPr>
          <w:rFonts w:ascii="Times New Roman" w:cs="Times New Roman" w:eastAsia="Times New Roman" w:hAnsi="Times New Roman"/>
          <w:rtl w:val="0"/>
        </w:rPr>
        <w:t xml:space="preserve">zákona č. 283/2021 Sb., stavební zákon,</w:t>
      </w:r>
      <w:r w:rsidDel="00000000" w:rsidR="00000000" w:rsidRPr="00000000">
        <w:rPr>
          <w:rFonts w:ascii="Times New Roman" w:cs="Times New Roman" w:eastAsia="Times New Roman" w:hAnsi="Times New Roman"/>
          <w:highlight w:val="white"/>
          <w:rtl w:val="0"/>
        </w:rPr>
        <w:t xml:space="preserve"> ve znění pozdějších předpisů, s vyznačením navrhovaných změn a doplnění </w:t>
      </w:r>
    </w:p>
    <w:p w:rsidR="00000000" w:rsidDel="00000000" w:rsidP="00000000" w:rsidRDefault="00000000" w:rsidRPr="00000000" w14:paraId="00000025">
      <w:pPr>
        <w:spacing w:after="200" w:before="200" w:line="276" w:lineRule="auto"/>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u w:val="single"/>
          <w:rtl w:val="0"/>
        </w:rPr>
        <w:t xml:space="preserve">[změny provedené komplexním pozměňovacím návrhem ČERNĚ, změny provedené pozměňovacím návrhem </w:t>
      </w:r>
      <w:r w:rsidDel="00000000" w:rsidR="00000000" w:rsidRPr="00000000">
        <w:rPr>
          <w:rFonts w:ascii="Times New Roman" w:cs="Times New Roman" w:eastAsia="Times New Roman" w:hAnsi="Times New Roman"/>
          <w:color w:val="ff0000"/>
          <w:u w:val="single"/>
          <w:rtl w:val="0"/>
        </w:rPr>
        <w:t xml:space="preserve">ČERVENĚ</w:t>
      </w:r>
      <w:r w:rsidDel="00000000" w:rsidR="00000000" w:rsidRPr="00000000">
        <w:rPr>
          <w:rFonts w:ascii="Times New Roman" w:cs="Times New Roman" w:eastAsia="Times New Roman" w:hAnsi="Times New Roman"/>
          <w:u w:val="single"/>
          <w:rtl w:val="0"/>
        </w:rPr>
        <w:t xml:space="preserve">]</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4ysrugsl7e9z" w:id="1"/>
      <w:bookmarkEnd w:id="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Příloha č. 1 k zákonu č. 283/2021 Sb.</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Drobné stavby</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76"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Drobnými stavbami jsou</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stavby nebo zařízení a</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s nimi související terénní úpravy 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jejich údržba, a to</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eysob4b02shg" w:id="2"/>
      <w:bookmarkEnd w:id="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stavba do 40 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zastavěné plochy a do 5 m výšky s nejvýše jedním nadzemním podlažím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podkrovím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podsklepená nejvýše do hloubky 3 m, </w:t>
      </w:r>
      <w:r w:rsidDel="00000000" w:rsidR="00000000" w:rsidRPr="00000000">
        <w:rPr>
          <w:rFonts w:ascii="Times New Roman" w:cs="Times New Roman" w:eastAsia="Times New Roman" w:hAnsi="Times New Roman"/>
          <w:b w:val="0"/>
          <w:bCs w:val="0"/>
          <w:i w:val="0"/>
          <w:iCs w:val="0"/>
          <w:smallCaps w:val="0"/>
          <w:strike w:val="1"/>
          <w:color w:val="000000"/>
          <w:sz w:val="24"/>
          <w:szCs w:val="24"/>
          <w:u w:val="none"/>
          <w:shd w:fill="auto" w:val="clear"/>
          <w:vertAlign w:val="baseline"/>
          <w:rtl w:val="0"/>
        </w:rPr>
        <w:t xml:space="preserve">na pozemku rodinného domu nebo stavby pro rodinnou rekreaci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 pozemku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zázemí domu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která souvisí s bydlením nebo rodinnou rekreací, a nejde o stavbu pro podnikatelskou činnost, která je umisťována v odstupové vzdálenosti od hranic pozemků nejméně 2 m a plocha části pozemku schopného vsakovat dešťové vody po jejím umístění bude nejméně 50 % z celkové </w:t>
      </w:r>
      <w:r w:rsidDel="00000000" w:rsidR="00000000" w:rsidRPr="00000000">
        <w:rPr>
          <w:rFonts w:ascii="Times New Roman" w:cs="Times New Roman" w:eastAsia="Times New Roman" w:hAnsi="Times New Roman"/>
          <w:b w:val="0"/>
          <w:bCs w:val="0"/>
          <w:i w:val="0"/>
          <w:iCs w:val="0"/>
          <w:smallCaps w:val="0"/>
          <w:strike w:val="1"/>
          <w:color w:val="000000"/>
          <w:sz w:val="24"/>
          <w:szCs w:val="24"/>
          <w:u w:val="none"/>
          <w:shd w:fill="auto" w:val="clear"/>
          <w:vertAlign w:val="baseline"/>
          <w:rtl w:val="0"/>
        </w:rPr>
        <w:t xml:space="preserve">plochy pozemku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1"/>
          <w:color w:val="000000"/>
          <w:sz w:val="24"/>
          <w:szCs w:val="24"/>
          <w:u w:val="none"/>
          <w:shd w:fill="auto" w:val="clear"/>
          <w:vertAlign w:val="baseline"/>
          <w:rtl w:val="0"/>
        </w:rPr>
        <w:t xml:space="preserve">rodinného domu nebo stavby pro rodinnou rekreaci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plochy pozemku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zázemí domu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skleník do 40 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zastavěné plochy a do 5 m výšky bez podsklepení nebo bazén do 40 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zastavěné plochy na pozemku </w:t>
      </w:r>
      <w:r w:rsidDel="00000000" w:rsidR="00000000" w:rsidRPr="00000000">
        <w:rPr>
          <w:rFonts w:ascii="Times New Roman" w:cs="Times New Roman" w:eastAsia="Times New Roman" w:hAnsi="Times New Roman"/>
          <w:b w:val="0"/>
          <w:bCs w:val="0"/>
          <w:i w:val="0"/>
          <w:iCs w:val="0"/>
          <w:smallCaps w:val="0"/>
          <w:strike w:val="1"/>
          <w:color w:val="000000"/>
          <w:sz w:val="24"/>
          <w:szCs w:val="24"/>
          <w:u w:val="none"/>
          <w:shd w:fill="auto" w:val="clear"/>
          <w:vertAlign w:val="baseline"/>
          <w:rtl w:val="0"/>
        </w:rPr>
        <w:t xml:space="preserve">rodinného domu nebo stavby pro rodinnou rekreaci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zázemí domu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 odstupové vzdálenosti nejméně 2 m od hranice pozemku,</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stavba do 40 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zastavěné plochy a do 5 m výšky s nejvýše jedním nadzemním podlažím, podsklepená nejvýše do hloubky 3 m, na pozemku, který je určen rozhodnutím o povolení záměru, územním plánem </w:t>
      </w:r>
      <w:r w:rsidDel="00000000" w:rsidR="00000000" w:rsidRPr="00000000">
        <w:rPr>
          <w:rFonts w:ascii="Times New Roman" w:cs="Times New Roman" w:eastAsia="Times New Roman" w:hAnsi="Times New Roman"/>
          <w:b w:val="0"/>
          <w:bCs w:val="0"/>
          <w:i w:val="0"/>
          <w:iCs w:val="0"/>
          <w:smallCaps w:val="0"/>
          <w:strike w:val="1"/>
          <w:color w:val="000000"/>
          <w:sz w:val="24"/>
          <w:szCs w:val="24"/>
          <w:u w:val="none"/>
          <w:shd w:fill="auto" w:val="clear"/>
          <w:vertAlign w:val="baseline"/>
          <w:rtl w:val="0"/>
        </w:rPr>
        <w:t xml:space="preserve">s prvky regulačního plánu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nebo regulačním plánem pro způsob využití jako zahrádkářská osada, a nejde o stavbu pro bydlení, pro rodinnou rekreaci a pro podnikatelskou činnost, která je umisťována v odstupové vzdálenosti od hranic pozemků nejméně 2 m a plocha části pozemku schopného vsakovat dešťové vody po jejím umístění bude nejméně 50 % z celkové plochy pozemku,</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mws73kga676s" w:id="3"/>
      <w:bookmarkEnd w:id="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stavba, včetně základové konstrukce, do 55 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zastavěné plochy a do 4 m výšky na pozemku, který je určen rozhodnutím o povolení záměru, územním plánem </w:t>
      </w:r>
      <w:r w:rsidDel="00000000" w:rsidR="00000000" w:rsidRPr="00000000">
        <w:rPr>
          <w:rFonts w:ascii="Times New Roman" w:cs="Times New Roman" w:eastAsia="Times New Roman" w:hAnsi="Times New Roman"/>
          <w:b w:val="0"/>
          <w:bCs w:val="0"/>
          <w:i w:val="0"/>
          <w:iCs w:val="0"/>
          <w:smallCaps w:val="0"/>
          <w:strike w:val="1"/>
          <w:color w:val="000000"/>
          <w:sz w:val="24"/>
          <w:szCs w:val="24"/>
          <w:u w:val="none"/>
          <w:shd w:fill="auto" w:val="clear"/>
          <w:vertAlign w:val="baseline"/>
          <w:rtl w:val="0"/>
        </w:rPr>
        <w:t xml:space="preserve">s prvky regulačního plánu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nebo regulačním plánem pro způsob využití jako plochy rekreace, která je umisťována v odstupové vzdálenosti od hranic pozemků nejméně 2 m a plocha části pozemku schopného vsakovat dešťové vody po jejím umístění bude nejméně 50 % z celkové plochy pozemku,</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opěrné zdi do výšky 1 m nebo oplocení do výšky 2 m mezi pozemky, které se nacházejí </w:t>
      </w:r>
      <w:r w:rsidDel="00000000" w:rsidR="00000000" w:rsidRPr="00000000">
        <w:rPr>
          <w:rFonts w:ascii="Times New Roman" w:cs="Times New Roman" w:eastAsia="Times New Roman" w:hAnsi="Times New Roman"/>
          <w:b w:val="0"/>
          <w:bCs w:val="0"/>
          <w:i w:val="0"/>
          <w:iCs w:val="0"/>
          <w:smallCaps w:val="0"/>
          <w:strike w:val="1"/>
          <w:color w:val="000000"/>
          <w:sz w:val="24"/>
          <w:szCs w:val="24"/>
          <w:u w:val="none"/>
          <w:shd w:fill="auto" w:val="clear"/>
          <w:vertAlign w:val="baseline"/>
          <w:rtl w:val="0"/>
        </w:rPr>
        <w:t xml:space="preserve">v zastavěném území nebo v zastavitelné ploše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 zastavitelném území</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dočasné stavby bez podsklepení nebo zařízení, která slouží ke kulturním, společenským nebo sportovním účelům, přenosná prodejní zařízení anebo stánky, jejichž umístění nepřesáhne </w:t>
      </w:r>
      <w:r w:rsidDel="00000000" w:rsidR="00000000" w:rsidRPr="00000000">
        <w:rPr>
          <w:rFonts w:ascii="Times New Roman" w:cs="Times New Roman" w:eastAsia="Times New Roman" w:hAnsi="Times New Roman"/>
          <w:b w:val="0"/>
          <w:bCs w:val="0"/>
          <w:i w:val="0"/>
          <w:iCs w:val="0"/>
          <w:smallCaps w:val="0"/>
          <w:strike w:val="1"/>
          <w:color w:val="000000"/>
          <w:sz w:val="24"/>
          <w:szCs w:val="24"/>
          <w:u w:val="none"/>
          <w:shd w:fill="auto" w:val="clear"/>
          <w:vertAlign w:val="baseline"/>
          <w:rtl w:val="0"/>
        </w:rPr>
        <w:t xml:space="preserve">30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 sobě jdoucích dnů,</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reklamní zařízení o celkové ploše do 0,6 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plocha oboustranných panelů se započítává pouze jednou,</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oplocení lesních školek a obor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59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oplocení zřízené k ochraně lesních porostů před zvěří na lesních pozemcích a oplocení dřevin vysazených za účelem založení územního systému ekologické stability, která jsou bez podezdívky, přičemž nesmí dojít k omezení provozu na pozemní komunikaci nebo k přerušení turisticky značené trasy,</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stavby pro hospodaření v lesích a stavby pro výkon práva myslivosti do 30 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zastavěné plochy a do 5 m výšky bez podsklepení,</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doplnění vlastní telekomunikační sítě</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60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 řízení, měření, zabezpečování a automatizaci provozu energetické soustavy a k přenosu informací pro činnost výpočetní techniky a informačních systémů a doplnění nezbytných systémů ochrany, řízení a zabezpečení sítě, to vše ke stávající energetické síti technické infrastruktury, pokud nedochází k překročení hranice stávajícího ochranného nebo bezpečnostního pásma,</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fyjj91obhuwq" w:id="4"/>
      <w:bookmarkEnd w:id="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doplnění, odstranění,</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výměna nebo navýšení kapacity sítí technické infrastruktury, pokud nedochází k překročení hranice stávajícího ochranného nebo bezpečnostního pásma,</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y2x8qju1xqqa" w:id="5"/>
      <w:bookmarkEnd w:id="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doplnění, odstranění,</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výměna nebo navýšení kapacity sítí technické infrastruktury, pokud dochází k překročení hranice jejich stávajícího ochranného nebo bezpečnostního pásma, bez rozšíření jeho stávajícího rozsahu</w:t>
      </w:r>
      <w:r w:rsidDel="00000000" w:rsidR="00000000" w:rsidRPr="00000000">
        <w:rPr>
          <w:rFonts w:ascii="Times New Roman" w:cs="Times New Roman" w:eastAsia="Times New Roman" w:hAnsi="Times New Roman"/>
          <w:b w:val="0"/>
          <w:bCs w:val="0"/>
          <w:i w:val="0"/>
          <w:iCs w:val="0"/>
          <w:smallCaps w:val="0"/>
          <w:strike w:val="1"/>
          <w:color w:val="000000"/>
          <w:sz w:val="24"/>
          <w:szCs w:val="24"/>
          <w:u w:val="none"/>
          <w:shd w:fill="auto" w:val="clear"/>
          <w:vertAlign w:val="baseline"/>
          <w:rtl w:val="0"/>
        </w:rPr>
        <w:t xml:space="preserve">, výměna nebo navýšení kapacity sítě technické infrastruktury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změna její stávající trasy nebo hranice jejího stávajícího ochranného a bezpečnostního pásma se dotýkají pouze pozemků již dotčených trasou sítě technické infrastruktury nebo jejím stávajícím ochranným nebo bezpečnostním pásmem, a </w:t>
      </w:r>
      <w:r w:rsidDel="00000000" w:rsidR="00000000" w:rsidRPr="00000000">
        <w:rPr>
          <w:rFonts w:ascii="Times New Roman" w:cs="Times New Roman" w:eastAsia="Times New Roman" w:hAnsi="Times New Roman"/>
          <w:b w:val="0"/>
          <w:bCs w:val="0"/>
          <w:i w:val="0"/>
          <w:iCs w:val="0"/>
          <w:smallCaps w:val="0"/>
          <w:strike w:val="1"/>
          <w:color w:val="000000"/>
          <w:sz w:val="24"/>
          <w:szCs w:val="24"/>
          <w:u w:val="none"/>
          <w:shd w:fill="auto" w:val="clear"/>
          <w:vertAlign w:val="baseline"/>
          <w:rtl w:val="0"/>
        </w:rPr>
        <w:t xml:space="preserve">pro provedení</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 provedením doplnění, odstranění,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výměny nebo navýšení kapacity sítě technické infrastruktury mimo její stávající trasu </w:t>
      </w:r>
      <w:r w:rsidDel="00000000" w:rsidR="00000000" w:rsidRPr="00000000">
        <w:rPr>
          <w:rFonts w:ascii="Times New Roman" w:cs="Times New Roman" w:eastAsia="Times New Roman" w:hAnsi="Times New Roman"/>
          <w:b w:val="0"/>
          <w:bCs w:val="0"/>
          <w:i w:val="0"/>
          <w:iCs w:val="0"/>
          <w:smallCaps w:val="0"/>
          <w:strike w:val="1"/>
          <w:color w:val="000000"/>
          <w:sz w:val="24"/>
          <w:szCs w:val="24"/>
          <w:u w:val="none"/>
          <w:shd w:fill="auto" w:val="clear"/>
          <w:vertAlign w:val="baseline"/>
          <w:rtl w:val="0"/>
        </w:rPr>
        <w:t xml:space="preserve">je s vlastníkem dotčených pozemků uzavřena smlouva o zřízení věcného břemene nebo smlouva o smlouvě budoucí o zřízení věcného břemene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vlastník dotčených pozemků souhlasí</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povrchové rozvody nebo odvody vody na zemědělské půdě nebo na pozemcích určených k plnění funkcí lesa, nejde-li o vodní díla,</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přístřešky o jednom nadzemním podlaží, které slouží veřejné dopravě, a jiné veřejně přístupné přístřešky do 40 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zastavěné plochy a do 4 m výšky,</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s3g2dd9pizvm" w:id="6"/>
      <w:bookmarkEnd w:id="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w:t>
      </w:r>
      <w:r w:rsidDel="00000000" w:rsidR="00000000" w:rsidRPr="00000000">
        <w:rPr>
          <w:rFonts w:ascii="Times New Roman" w:cs="Times New Roman" w:eastAsia="Times New Roman" w:hAnsi="Times New Roman"/>
          <w:b w:val="0"/>
          <w:bCs w:val="0"/>
          <w:i w:val="0"/>
          <w:iCs w:val="0"/>
          <w:smallCaps w:val="0"/>
          <w:strike w:val="1"/>
          <w:color w:val="000000"/>
          <w:sz w:val="24"/>
          <w:szCs w:val="24"/>
          <w:u w:val="none"/>
          <w:shd w:fill="auto" w:val="clear"/>
          <w:vertAlign w:val="baseline"/>
          <w:rtl w:val="0"/>
        </w:rPr>
        <w:t xml:space="preserve">podpěrné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konstrukce dopravního značení a zařízení pro provozní informace na pozemních komunikacích</w:t>
      </w:r>
      <w:r w:rsidDel="00000000" w:rsidR="00000000" w:rsidRPr="00000000">
        <w:rPr>
          <w:rFonts w:ascii="Times New Roman" w:cs="Times New Roman" w:eastAsia="Times New Roman" w:hAnsi="Times New Roman"/>
          <w:b w:val="0"/>
          <w:bCs w:val="0"/>
          <w:i w:val="0"/>
          <w:iCs w:val="0"/>
          <w:smallCaps w:val="0"/>
          <w:strike w:val="1"/>
          <w:color w:val="000000"/>
          <w:sz w:val="24"/>
          <w:szCs w:val="24"/>
          <w:u w:val="none"/>
          <w:shd w:fill="auto" w:val="clear"/>
          <w:vertAlign w:val="baseline"/>
          <w:rtl w:val="0"/>
        </w:rPr>
        <w:t xml:space="preserve">, nejde-li o portálové konstrukce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drahách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 sjezdy a nájezdy na pozemní komunikace sloužící k připojení sousední nemovité věci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61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 nástupní ostrůvky hromadné veřejné dopravy a přejezdy přes chodníky,</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 propustky na neveřejných účelových komunikacích,</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 stavby mostních vah,</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 signální věže, signály a pyramidy pro zeměměřické účely a body seismické monitorovací sítě,</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stožáry pro vlajky do výšky 8 m,</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antény, včetně jejich nosných konstrukcí a souvisejících elektronických komunikačních zařízení do celkové výšky 8 m, umisťované samostatně na pozemku nebo na budovách,</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w:t>
      </w:r>
      <w:r w:rsidDel="00000000" w:rsidR="00000000" w:rsidRPr="00000000">
        <w:rPr>
          <w:rFonts w:ascii="Times New Roman" w:cs="Times New Roman" w:eastAsia="Times New Roman" w:hAnsi="Times New Roman"/>
          <w:b w:val="0"/>
          <w:bCs w:val="0"/>
          <w:i w:val="0"/>
          <w:iCs w:val="0"/>
          <w:smallCaps w:val="0"/>
          <w:strike w:val="1"/>
          <w:color w:val="000000"/>
          <w:sz w:val="24"/>
          <w:szCs w:val="24"/>
          <w:u w:val="none"/>
          <w:shd w:fill="auto" w:val="clear"/>
          <w:vertAlign w:val="baseline"/>
          <w:rtl w:val="0"/>
        </w:rPr>
        <w:t xml:space="preserve">běžný dobíjecí bod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běžné dobíjecí body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 62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 zařízení sloužící k odběru povrchových nebo podzemních vod v případech ohrožujících život, zdraví nebo majetek těmito vodami,</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fthalr75el0p" w:id="7"/>
      <w:bookmarkEnd w:id="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 stavby pro výrobu energie z obnovitelných zdrojů a stavby pro ukládání energie s celkovým instalovaným výkonem do 100 kW, s výjimkou stavby vodního díla, stavby pro výrobu elektřiny využívající větrnou energii, stavby ve zvláště chráněném území, nebo v území vymezeném Ministerstvem obrany nebo Ministerstvem vnitra </w:t>
      </w:r>
      <w:r w:rsidDel="00000000" w:rsidR="00000000" w:rsidRPr="00000000">
        <w:rPr>
          <w:rFonts w:ascii="Times New Roman" w:cs="Times New Roman" w:eastAsia="Times New Roman" w:hAnsi="Times New Roman"/>
          <w:b w:val="0"/>
          <w:bCs w:val="0"/>
          <w:i w:val="0"/>
          <w:iCs w:val="0"/>
          <w:smallCaps w:val="0"/>
          <w:strike w:val="1"/>
          <w:color w:val="000000"/>
          <w:sz w:val="24"/>
          <w:szCs w:val="24"/>
          <w:u w:val="none"/>
          <w:shd w:fill="auto" w:val="clear"/>
          <w:vertAlign w:val="baseline"/>
          <w:rtl w:val="0"/>
        </w:rPr>
        <w:t xml:space="preserve">stanoveném v nařízení vlády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 přípolože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63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 existující stavbě dopravní či technické infrastruktury,</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 zázemí lesní mateřské školy a výdejny lesní mateřské školy o celkové zastavěné ploše všech staveb do 55 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 výjimkou hygienického zařízení, bez podsklepení, s nejvýše jedním nadzemním podlažím,</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28. připojení k distribuční soustavě pomocí elektrické přípojky nebo smyčky, to vše v hladině nízkého napětí a v maximální délce do </w:t>
      </w:r>
      <w:r w:rsidDel="00000000" w:rsidR="00000000" w:rsidRPr="00000000">
        <w:rPr>
          <w:rFonts w:ascii="Times New Roman" w:cs="Times New Roman" w:eastAsia="Times New Roman" w:hAnsi="Times New Roman"/>
          <w:b w:val="0"/>
          <w:bCs w:val="0"/>
          <w:i w:val="0"/>
          <w:iCs w:val="0"/>
          <w:smallCaps w:val="0"/>
          <w:strike w:val="1"/>
          <w:color w:val="000000"/>
          <w:sz w:val="24"/>
          <w:szCs w:val="24"/>
          <w:u w:val="none"/>
          <w:shd w:fill="auto" w:val="clear"/>
          <w:vertAlign w:val="baseline"/>
          <w:rtl w:val="0"/>
        </w:rPr>
        <w:t xml:space="preserve">25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 od vedení a zařízení stávající distribuční soustavy, zřizované provozovatelem distribuční soustavy</w:t>
      </w:r>
      <w:r w:rsidDel="00000000" w:rsidR="00000000" w:rsidRPr="00000000">
        <w:rPr>
          <w:rFonts w:ascii="Times New Roman" w:cs="Times New Roman" w:eastAsia="Times New Roman" w:hAnsi="Times New Roman"/>
          <w:b w:val="0"/>
          <w:bCs w:val="0"/>
          <w:i w:val="0"/>
          <w:iCs w:val="0"/>
          <w:smallCaps w:val="0"/>
          <w:strike w:val="1"/>
          <w:color w:val="000000"/>
          <w:sz w:val="24"/>
          <w:szCs w:val="24"/>
          <w:u w:val="none"/>
          <w:shd w:fill="auto" w:val="clear"/>
          <w:vertAlign w:val="baseline"/>
          <w:rtl w:val="0"/>
        </w:rPr>
        <w:t xml:space="preserve">, jehož distribuční soustava je připojena k přenosové soustavě a k jehož soustavě je připojeno více než 90 000 odběrných míst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včetně připojení stavby a odběrných zařízení vedených mimo budovu nebo připojení staveb plnících doplňkovou funkci ke stavbě hlavní,</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29. plynovodní přípojky o tlakové úrovni do 4 bar v maximální délce do </w:t>
      </w:r>
      <w:r w:rsidDel="00000000" w:rsidR="00000000" w:rsidRPr="00000000">
        <w:rPr>
          <w:rFonts w:ascii="Times New Roman" w:cs="Times New Roman" w:eastAsia="Times New Roman" w:hAnsi="Times New Roman"/>
          <w:b w:val="0"/>
          <w:bCs w:val="0"/>
          <w:i w:val="0"/>
          <w:iCs w:val="0"/>
          <w:smallCaps w:val="0"/>
          <w:strike w:val="1"/>
          <w:color w:val="000000"/>
          <w:sz w:val="24"/>
          <w:szCs w:val="24"/>
          <w:u w:val="none"/>
          <w:shd w:fill="auto" w:val="clear"/>
          <w:vertAlign w:val="baseline"/>
          <w:rtl w:val="0"/>
        </w:rPr>
        <w:t xml:space="preserve">25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 od vedení stávající distribuční soustavy, s níž vyslovil provozovatel distribuční soustavy</w:t>
      </w:r>
      <w:r w:rsidDel="00000000" w:rsidR="00000000" w:rsidRPr="00000000">
        <w:rPr>
          <w:rFonts w:ascii="Times New Roman" w:cs="Times New Roman" w:eastAsia="Times New Roman" w:hAnsi="Times New Roman"/>
          <w:b w:val="0"/>
          <w:bCs w:val="0"/>
          <w:i w:val="0"/>
          <w:iCs w:val="0"/>
          <w:smallCaps w:val="0"/>
          <w:strike w:val="1"/>
          <w:color w:val="000000"/>
          <w:sz w:val="24"/>
          <w:szCs w:val="24"/>
          <w:u w:val="none"/>
          <w:shd w:fill="auto" w:val="clear"/>
          <w:vertAlign w:val="baseline"/>
          <w:rtl w:val="0"/>
        </w:rPr>
        <w:t xml:space="preserve">, k jehož soustavě je připojeno více než 90 000 odběrných míst,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souhlas, včetně připojení stavby a odběrných zařízení vedených mimo budovu nebo připojení staveb plnících doplňkovou funkci ke stavbě hlavní,</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teplovodní,</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vodovodní nebo kanalizační přípojky v délce do </w:t>
      </w:r>
      <w:r w:rsidDel="00000000" w:rsidR="00000000" w:rsidRPr="00000000">
        <w:rPr>
          <w:rFonts w:ascii="Times New Roman" w:cs="Times New Roman" w:eastAsia="Times New Roman" w:hAnsi="Times New Roman"/>
          <w:b w:val="0"/>
          <w:bCs w:val="0"/>
          <w:i w:val="0"/>
          <w:iCs w:val="0"/>
          <w:smallCaps w:val="0"/>
          <w:strike w:val="1"/>
          <w:color w:val="000000"/>
          <w:sz w:val="24"/>
          <w:szCs w:val="24"/>
          <w:u w:val="none"/>
          <w:shd w:fill="auto" w:val="clear"/>
          <w:vertAlign w:val="baseline"/>
          <w:rtl w:val="0"/>
        </w:rPr>
        <w:t xml:space="preserve">25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 od stávajícího vodovodního řadu nebo stávající kanalizační stoky schválené vlastníkem dotčeného pozemku a vlastníkem vodovodu nebo kanalizace, popřípadě jeho provozovatelem, pokud je k tomu vlastníkem zmocněn, včetně připojení stavby a odběrných zařízení vedených mimo budovu nebo připojení staveb plnících doplňkovou funkci ke stavbě hlavní,</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stání pro obytné automobily a obytné přívěsy,</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w:t>
      </w:r>
      <w:r w:rsidDel="00000000" w:rsidR="00000000" w:rsidRPr="00000000">
        <w:rPr>
          <w:rFonts w:ascii="Times New Roman" w:cs="Times New Roman" w:eastAsia="Times New Roman" w:hAnsi="Times New Roman"/>
          <w:b w:val="0"/>
          <w:bCs w:val="0"/>
          <w:i w:val="0"/>
          <w:iCs w:val="0"/>
          <w:smallCaps w:val="0"/>
          <w:strike w:val="1"/>
          <w:color w:val="000000"/>
          <w:sz w:val="24"/>
          <w:szCs w:val="24"/>
          <w:u w:val="none"/>
          <w:shd w:fill="auto" w:val="clear"/>
          <w:vertAlign w:val="baseline"/>
          <w:rtl w:val="0"/>
        </w:rPr>
        <w:t xml:space="preserve">výrobky plnící funkci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stavby veřejné technické infrastruktury o jednom nadzemním podlaží do 40 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zastavěné plochy a do 5 m výšky, nepodsklepené, jsou-li umisťovány v </w:t>
      </w:r>
      <w:r w:rsidDel="00000000" w:rsidR="00000000" w:rsidRPr="00000000">
        <w:rPr>
          <w:rFonts w:ascii="Times New Roman" w:cs="Times New Roman" w:eastAsia="Times New Roman" w:hAnsi="Times New Roman"/>
          <w:b w:val="0"/>
          <w:bCs w:val="0"/>
          <w:i w:val="0"/>
          <w:iCs w:val="0"/>
          <w:smallCaps w:val="0"/>
          <w:strike w:val="1"/>
          <w:color w:val="000000"/>
          <w:sz w:val="24"/>
          <w:szCs w:val="24"/>
          <w:u w:val="none"/>
          <w:shd w:fill="auto" w:val="clear"/>
          <w:vertAlign w:val="baseline"/>
          <w:rtl w:val="0"/>
        </w:rPr>
        <w:t xml:space="preserve">zastavěném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zastavitelném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území mimo veřejná prostranství v odstupové vzdálenosti od hranic pozemků nejméně 2 m,</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přístřešky o jednom nadzemním podlaží do 40 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zastavěné plochy a do 5 m výšky, nepodsklepené, jestliže neobsahují obytné nebo pobytové místnosti nebo hygienická zařízení, a které neslouží k ustájení nebo chovu zvířat a neslouží k výrobě nebo skladování hořlavých kapalin nebo hořlavých plynů, a jsou-li umisťovány v </w:t>
      </w:r>
      <w:r w:rsidDel="00000000" w:rsidR="00000000" w:rsidRPr="00000000">
        <w:rPr>
          <w:rFonts w:ascii="Times New Roman" w:cs="Times New Roman" w:eastAsia="Times New Roman" w:hAnsi="Times New Roman"/>
          <w:b w:val="0"/>
          <w:bCs w:val="0"/>
          <w:i w:val="0"/>
          <w:iCs w:val="0"/>
          <w:smallCaps w:val="0"/>
          <w:strike w:val="1"/>
          <w:color w:val="000000"/>
          <w:sz w:val="24"/>
          <w:szCs w:val="24"/>
          <w:u w:val="none"/>
          <w:shd w:fill="auto" w:val="clear"/>
          <w:vertAlign w:val="baseline"/>
          <w:rtl w:val="0"/>
        </w:rPr>
        <w:t xml:space="preserve">zastavěném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zastavitelném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území mimo veřejná prostranství,</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 stavby základnových stanic vlakového rádiového zařízení, včetně antén, jejich nosných konstrukcí a souvisejících elektronických komunikačních a energetických zařízení a sítí, do celkové výšky 15 m,</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76"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ngj1hfljafd4" w:id="8"/>
      <w:bookmarkEnd w:id="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35. sítě elektronických komunikací, pokud se umisťují na vlastních nemovitostech nebo pokud s jejich umístěním vlastník dotčené nemovitosti souhlasí,</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76"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36. uložení stávajícího nadzemního vedení na hladině nízkého napětí v zastavitelném území pod zem, pokud s tím vlastník dotčených pozemků souhlasí,</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76"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37. dočasné stavby náhradních tras dopravní a technické infrastruktury, jejichž trvání nepřesáhne 6 měsíců,</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76"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kb8bhdj13muq" w:id="9"/>
      <w:bookmarkEnd w:id="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38. jiné stavby, které nemohou ani potenciálně zasáhnout do žádných veřejných zájmů ani práv třetích osob,</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součásti a příslušenství drobných staveb, pokud nepřekročí parametry staveb uvedených v písmenu a), a stavby zařízení staveniště potřebné pro provedení nebo odstranění drobné stavby,</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změny drobných staveb uvedených v písmenu a), při nichž nedojde k překročení uvedených parametrů,</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udržovací práce, jejichž provedení nemůže negativně ovlivnit zdraví osob, požární bezpečnost, stabilitu, vzhled stavby, životní prostředí nebo bezpečnost při užívání a nejde o udržovací práce na stavbě, která je kulturní památkou,</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 stavební úpravy, pokud se jimi nezasahuje do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podstaty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nosných konstrukcí stavby, nemění se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významně</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vzhled stavby ani způsob užívání stavby, jejich provedení nemůže negativně ovlivnit požární bezpečnost stavby a nejde o stavební úpravy stavby, která je kulturní památkou,</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 stavební úpravy pro instalaci využívající obnovitelný zdroj energie s celkovým instalovaným výkonem do 100 kW, pokud se jimi nezasahuje do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podstaty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nosných konstrukcí stavby, nemění se způsob užívání stavby, nevyžaduje posouzení vlivů na životní prostředí, jsou splněny podmínky zejména požární bezpečnosti podle právního předpisu upravujícího požadavky na bezpečnou instalaci výroben elektřiny,</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 udržovací práce nebo stavební úpravy pozemních komunikací, a to</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zařízení zabraňující vniknutí volně žijících živočichů na dálnici nebo silnici I. třídy,</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výměna mostních závěrů nebo izolačních systémů na mostech,</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technická zařízení a jejich součásti určené k vyměření, výběru a kontrole úhrady poplatku za užití pozemní komunikace mimo portálové konstrukce,</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zřízení obrub k vozovce,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zvýšení nebo zesílení chodníku s výškovou úpravou obrub,</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zřizování dalších přejezdů středního dělicího pásu,</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76"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stavební úpravy dálnice, silnice a místní komunikace, při nichž změna původní nivelety nepřesáhne 3 cm u komunikací s přímo přilehlou zástavbou nebo s přímo přilehlými chodníky, na železničních přejezdech, na mostech, v podjezdech a v místech, kde jsou umístěny inženýrské sítě a jiná vedení</w:t>
      </w:r>
      <w:r w:rsidDel="00000000" w:rsidR="00000000" w:rsidRPr="00000000">
        <w:rPr>
          <w:rFonts w:ascii="Times New Roman" w:cs="Times New Roman" w:eastAsia="Times New Roman" w:hAnsi="Times New Roman"/>
          <w:i w:val="0"/>
          <w:iCs w:val="0"/>
          <w:smallCaps w:val="0"/>
          <w:strike w:val="1"/>
          <w:color w:val="ee0000"/>
          <w:sz w:val="24"/>
          <w:szCs w:val="24"/>
          <w:u w:val="none"/>
          <w:shd w:fill="auto" w:val="clear"/>
          <w:vertAlign w:val="baseline"/>
          <w:rtl w:val="0"/>
        </w:rPr>
        <w:t xml:space="preserve"> nebo</w:t>
      </w:r>
      <w:r w:rsidDel="00000000" w:rsidR="00000000" w:rsidRPr="00000000">
        <w:rPr>
          <w:rFonts w:ascii="Times New Roman" w:cs="Times New Roman" w:eastAsia="Times New Roman" w:hAnsi="Times New Roman"/>
          <w:i w:val="0"/>
          <w:iCs w:val="0"/>
          <w:smallCaps w:val="0"/>
          <w:strike w:val="0"/>
          <w:color w:val="ee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10 cm u ostatních komunikací </w:t>
      </w:r>
      <w:r w:rsidDel="00000000" w:rsidR="00000000" w:rsidRPr="00000000">
        <w:rPr>
          <w:rFonts w:ascii="Times New Roman" w:cs="Times New Roman" w:eastAsia="Times New Roman" w:hAnsi="Times New Roman"/>
          <w:i w:val="0"/>
          <w:iCs w:val="0"/>
          <w:smallCaps w:val="0"/>
          <w:strike w:val="1"/>
          <w:color w:val="ff0000"/>
          <w:sz w:val="24"/>
          <w:szCs w:val="24"/>
          <w:u w:val="none"/>
          <w:shd w:fill="auto" w:val="clear"/>
          <w:vertAlign w:val="baseline"/>
          <w:rtl w:val="0"/>
        </w:rPr>
        <w:t xml:space="preserve">anebo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ff0000"/>
          <w:sz w:val="24"/>
          <w:szCs w:val="24"/>
          <w:u w:val="none"/>
          <w:shd w:fill="auto" w:val="clear"/>
          <w:vertAlign w:val="baseline"/>
          <w:rtl w:val="0"/>
        </w:rPr>
        <w:t xml:space="preserve">nebo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6 cm v případě krátkých příčných prahů prováděných formou stavební úpravy</w:t>
      </w:r>
      <w:r w:rsidDel="00000000" w:rsidR="00000000" w:rsidRPr="00000000">
        <w:rPr>
          <w:rFonts w:ascii="Times New Roman" w:cs="Times New Roman" w:eastAsia="Times New Roman" w:hAnsi="Times New Roman"/>
          <w:i w:val="0"/>
          <w:iCs w:val="0"/>
          <w:smallCaps w:val="0"/>
          <w:strike w:val="1"/>
          <w:color w:val="ee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i w:val="0"/>
          <w:iCs w:val="0"/>
          <w:smallCaps w:val="0"/>
          <w:strike w:val="0"/>
          <w:color w:val="ee0000"/>
          <w:sz w:val="24"/>
          <w:szCs w:val="24"/>
          <w:u w:val="none"/>
          <w:shd w:fill="auto" w:val="clear"/>
          <w:vertAlign w:val="baseline"/>
          <w:rtl w:val="0"/>
        </w:rPr>
        <w:t xml:space="preserve"> anebo při nichž se mění materiál či vzhled povrchu komunikace bez většího vlivu na bezpečnost provozu na pozemní komunikaci nebo zvýšení původní </w:t>
      </w:r>
      <w:r w:rsidDel="00000000" w:rsidR="00000000" w:rsidRPr="00000000">
        <w:rPr>
          <w:rFonts w:ascii="Times New Roman" w:cs="Times New Roman" w:eastAsia="Times New Roman" w:hAnsi="Times New Roman"/>
          <w:color w:val="ee0000"/>
          <w:rtl w:val="0"/>
        </w:rPr>
        <w:t xml:space="preserve">nivelety</w:t>
      </w:r>
      <w:r w:rsidDel="00000000" w:rsidR="00000000" w:rsidRPr="00000000">
        <w:rPr>
          <w:rFonts w:ascii="Times New Roman" w:cs="Times New Roman" w:eastAsia="Times New Roman" w:hAnsi="Times New Roman"/>
          <w:i w:val="0"/>
          <w:iCs w:val="0"/>
          <w:smallCaps w:val="0"/>
          <w:strike w:val="0"/>
          <w:color w:val="ee0000"/>
          <w:sz w:val="24"/>
          <w:szCs w:val="24"/>
          <w:u w:val="none"/>
          <w:shd w:fill="auto" w:val="clear"/>
          <w:vertAlign w:val="baseline"/>
          <w:rtl w:val="0"/>
        </w:rPr>
        <w:t xml:space="preserve"> nepřesáhne 12 cm, jde-li o komunikaci  s přímo přilehlou zástavbou, nemění-li se </w:t>
      </w:r>
      <w:r w:rsidDel="00000000" w:rsidR="00000000" w:rsidRPr="00000000">
        <w:rPr>
          <w:rFonts w:ascii="Times New Roman" w:cs="Times New Roman" w:eastAsia="Times New Roman" w:hAnsi="Times New Roman"/>
          <w:i w:val="0"/>
          <w:iCs w:val="0"/>
          <w:smallCaps w:val="0"/>
          <w:strike w:val="0"/>
          <w:color w:val="ee0000"/>
          <w:sz w:val="24"/>
          <w:szCs w:val="24"/>
          <w:u w:val="none"/>
          <w:shd w:fill="auto" w:val="clear"/>
          <w:vertAlign w:val="baseline"/>
          <w:rtl w:val="0"/>
        </w:rPr>
        <w:t xml:space="preserve">podstatně</w:t>
      </w:r>
      <w:r w:rsidDel="00000000" w:rsidR="00000000" w:rsidRPr="00000000">
        <w:rPr>
          <w:rFonts w:ascii="Times New Roman" w:cs="Times New Roman" w:eastAsia="Times New Roman" w:hAnsi="Times New Roman"/>
          <w:i w:val="0"/>
          <w:iCs w:val="0"/>
          <w:smallCaps w:val="0"/>
          <w:strike w:val="0"/>
          <w:color w:val="ee0000"/>
          <w:sz w:val="24"/>
          <w:szCs w:val="24"/>
          <w:u w:val="none"/>
          <w:shd w:fill="auto" w:val="clear"/>
          <w:vertAlign w:val="baseline"/>
          <w:rtl w:val="0"/>
        </w:rPr>
        <w:t xml:space="preserve"> přístup nebo příjezd na přímo sousedící nemovitosti, nebo přímo přilehlými chodníky, mimo železniční přejezdy, mosty, podjezdy nebo tunely,</w:t>
      </w: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stavební úpravy vozovek a krajnic v rozsahu běžné a souvislé údržby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64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76" w:lineRule="auto"/>
        <w:ind w:left="0" w:right="0" w:firstLine="0"/>
        <w:jc w:val="both"/>
        <w:rPr>
          <w:rFonts w:ascii="Times New Roman" w:cs="Times New Roman" w:eastAsia="Times New Roman" w:hAnsi="Times New Roman"/>
          <w:i w:val="0"/>
          <w:iCs w:val="0"/>
          <w:smallCaps w:val="0"/>
          <w:strike w:val="0"/>
          <w:color w:val="ee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ee0000"/>
          <w:sz w:val="24"/>
          <w:szCs w:val="24"/>
          <w:u w:val="none"/>
          <w:shd w:fill="auto" w:val="clear"/>
          <w:vertAlign w:val="baseline"/>
          <w:rtl w:val="0"/>
        </w:rPr>
        <w:t xml:space="preserve">9. stavební úpravy silnice a místní komunikace, na kterých smí jet řidič rychlostí nejvýše 50 km.h</w:t>
      </w:r>
      <w:r w:rsidDel="00000000" w:rsidR="00000000" w:rsidRPr="00000000">
        <w:rPr>
          <w:rFonts w:ascii="Times New Roman" w:cs="Times New Roman" w:eastAsia="Times New Roman" w:hAnsi="Times New Roman"/>
          <w:i w:val="0"/>
          <w:iCs w:val="0"/>
          <w:smallCaps w:val="0"/>
          <w:strike w:val="0"/>
          <w:color w:val="ee0000"/>
          <w:sz w:val="24"/>
          <w:szCs w:val="24"/>
          <w:u w:val="none"/>
          <w:shd w:fill="auto" w:val="clear"/>
          <w:vertAlign w:val="superscript"/>
          <w:rtl w:val="0"/>
        </w:rPr>
        <w:t xml:space="preserve">-1</w:t>
      </w:r>
      <w:r w:rsidDel="00000000" w:rsidR="00000000" w:rsidRPr="00000000">
        <w:rPr>
          <w:rFonts w:ascii="Times New Roman" w:cs="Times New Roman" w:eastAsia="Times New Roman" w:hAnsi="Times New Roman"/>
          <w:i w:val="0"/>
          <w:iCs w:val="0"/>
          <w:smallCaps w:val="0"/>
          <w:strike w:val="0"/>
          <w:color w:val="ee0000"/>
          <w:sz w:val="24"/>
          <w:szCs w:val="24"/>
          <w:u w:val="none"/>
          <w:shd w:fill="auto" w:val="clear"/>
          <w:vertAlign w:val="baseline"/>
          <w:rtl w:val="0"/>
        </w:rPr>
        <w:t xml:space="preserve">,  spočívající v osazení nebo odstranění baliset či obdobných sloupků, zábradlí, stojanů pro jízdní kola, květináčů nebo obdobných prvků, pokud nezasahují do jízdního pruhu,</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 udržovací práce nebo stavební úpravy staveb dráhy, a to</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odvodnění nástupišť, přejezdů nebo tunelů,</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stavební úpravy svršku železničních a tramvajových tratí,</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výměna kolejí, kolejových polí, pražců a výhybek a jejich součástí,</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výměna nenosných částí mostů,</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zařízení pro ochranu osob před nebezpečným dotykovým napětím,</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zařízení pro ochranu před účinky bludných proudů elektrické trakce,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zařízení dálkového ovládání elektroenergetických zařízení,</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zařízení protikorozní ochrany, zařízení ochrany proti rušení telekomunikačních systémů a zařízení zamezující vlivu vysokého napětí,</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zařízení dálkového ovládání, regulace a měření,</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sdělovací a informační zařízení drah,</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zařízení elektrické požární signalizace,</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stavby, terénní úpravy, stavební úpravy a udržovací práce na území vojenských újezdů nebo ve vojenských objektech, a to</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mostní provizoria a nájezdové rampy k nim,</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terénní úpravy do 2,5 m hloubky a do 5,0 m výšky nebo o výměře do 1 km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stavby odstavných, manipulačních a skladových ploch o výměře do 1 km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účelové komunikace,</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výrobky plnící funkci stavby včetně základových konstrukcí pro ně.</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76"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Za drobné stavby se nepovažují</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stavby pro bydlení,</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stavby pro rodinnou rekreaci s výjimkou stavby uvedené v odstavci 1 písm. a) bodu 4,</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76" w:lineRule="auto"/>
        <w:ind w:left="0" w:right="0" w:firstLine="0"/>
        <w:jc w:val="both"/>
        <w:rPr>
          <w:rFonts w:ascii="Times New Roman" w:cs="Times New Roman" w:eastAsia="Times New Roman" w:hAnsi="Times New Roman"/>
          <w:b w:val="0"/>
          <w:bCs w:val="0"/>
          <w:i w:val="0"/>
          <w:iCs w:val="0"/>
          <w:smallCaps w:val="0"/>
          <w:strike w:val="1"/>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1"/>
          <w:color w:val="000000"/>
          <w:sz w:val="24"/>
          <w:szCs w:val="24"/>
          <w:u w:val="none"/>
          <w:shd w:fill="auto" w:val="clear"/>
          <w:vertAlign w:val="baseline"/>
          <w:rtl w:val="0"/>
        </w:rPr>
        <w:t xml:space="preserve">c) stavby garáží,</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1"/>
          <w:color w:val="000000"/>
          <w:sz w:val="24"/>
          <w:szCs w:val="24"/>
          <w:u w:val="none"/>
          <w:shd w:fill="auto" w:val="clear"/>
          <w:vertAlign w:val="baseline"/>
          <w:rtl w:val="0"/>
        </w:rPr>
        <w:t xml:space="preserve">d</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trafostanice, pokud nejsou výrobkem plnícím funkci stavby,</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1"/>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stavby skladů hořlavých látek, pyrotechnických výrobků, střeliva, munice a výbušnin,</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1"/>
          <w:color w:val="000000"/>
          <w:sz w:val="24"/>
          <w:szCs w:val="24"/>
          <w:u w:val="none"/>
          <w:shd w:fill="auto" w:val="clear"/>
          <w:vertAlign w:val="baseline"/>
          <w:rtl w:val="0"/>
        </w:rPr>
        <w:t xml:space="preserve">f</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stavby pro civilní obranu a požární ochranu,</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1"/>
          <w:color w:val="000000"/>
          <w:sz w:val="24"/>
          <w:szCs w:val="24"/>
          <w:u w:val="none"/>
          <w:shd w:fill="auto" w:val="clear"/>
          <w:vertAlign w:val="baseline"/>
          <w:rtl w:val="0"/>
        </w:rPr>
        <w:t xml:space="preserve">g</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stavby uranového průmyslu a stavby jaderného zařízení s výjimkou staveb podle odstavce 1 písm. d) až f),</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1"/>
          <w:color w:val="000000"/>
          <w:sz w:val="24"/>
          <w:szCs w:val="24"/>
          <w:u w:val="none"/>
          <w:shd w:fill="auto" w:val="clear"/>
          <w:vertAlign w:val="baseline"/>
          <w:rtl w:val="0"/>
        </w:rPr>
        <w:t xml:space="preserve">h</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sklady a skládky nebezpečných odpadů,</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1"/>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stavby vodních děl s výjimkou staveb podle odstavce 1 písm. a) bodů 11 a 12 a odstavce 1 písm. d) až f),</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76" w:lineRule="auto"/>
        <w:ind w:left="0" w:right="0" w:firstLine="0"/>
        <w:jc w:val="both"/>
        <w:rPr>
          <w:rFonts w:ascii="Times New Roman" w:cs="Times New Roman" w:eastAsia="Times New Roman" w:hAnsi="Times New Roman"/>
          <w:b w:val="0"/>
          <w:bCs w:val="0"/>
          <w:i w:val="0"/>
          <w:iCs w:val="0"/>
          <w:smallCaps w:val="0"/>
          <w:strike w:val="1"/>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1"/>
          <w:color w:val="000000"/>
          <w:sz w:val="24"/>
          <w:szCs w:val="24"/>
          <w:u w:val="none"/>
          <w:shd w:fill="auto" w:val="clear"/>
          <w:vertAlign w:val="baseline"/>
          <w:rtl w:val="0"/>
        </w:rPr>
        <w:t xml:space="preserve">j) výměna nebo navýšení kapacity sítí technické infrastruktury, nejde-li o výměnu nebo navýšení kapacity sítí technické infrastruktury podle odstavce 1 písm. a) bodů 11 a 12,</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1"/>
          <w:color w:val="000000"/>
          <w:sz w:val="24"/>
          <w:szCs w:val="24"/>
          <w:u w:val="none"/>
          <w:shd w:fill="auto" w:val="clear"/>
          <w:vertAlign w:val="baseline"/>
          <w:rtl w:val="0"/>
        </w:rPr>
        <w:t xml:space="preserve">k</w:t>
      </w:r>
      <w:r w:rsidDel="00000000" w:rsidR="00000000" w:rsidRPr="00000000">
        <w:rPr>
          <w:rFonts w:ascii="Times New Roman" w:cs="Times New Roman" w:eastAsia="Times New Roman" w:hAnsi="Times New Roman"/>
          <w:b w:val="1"/>
          <w:bCs w:val="1"/>
          <w:i w:val="0"/>
          <w:iCs w:val="0"/>
          <w:smallCaps w:val="0"/>
          <w:strike w:val="1"/>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důlní díla a důlní stavby pod povrchem, pokud podléhají schvalování a dozoru státní báňské správy podle horních předpisů,</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1"/>
          <w:color w:val="000000"/>
          <w:sz w:val="24"/>
          <w:szCs w:val="24"/>
          <w:u w:val="none"/>
          <w:shd w:fill="auto" w:val="clear"/>
          <w:vertAlign w:val="baseline"/>
          <w:rtl w:val="0"/>
        </w:rPr>
        <w:t xml:space="preserve">l</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záměry EIA.</w:t>
      </w:r>
    </w:p>
    <w:p w:rsidR="00000000" w:rsidDel="00000000" w:rsidP="00000000" w:rsidRDefault="00000000" w:rsidRPr="00000000" w14:paraId="0000007E">
      <w:pPr>
        <w:widowControl w:val="0"/>
        <w:spacing w:after="200" w:before="200" w:line="276" w:lineRule="auto"/>
        <w:jc w:val="both"/>
        <w:rPr>
          <w:rFonts w:ascii="Times New Roman" w:cs="Times New Roman" w:eastAsia="Times New Roman" w:hAnsi="Times New Roman"/>
          <w:b w:val="0"/>
          <w:bCs w:val="0"/>
        </w:rPr>
      </w:pPr>
      <w:r w:rsidDel="00000000" w:rsidR="00000000" w:rsidRPr="00000000">
        <w:rPr>
          <w:rtl w:val="0"/>
        </w:rPr>
      </w:r>
    </w:p>
    <w:sectPr>
      <w:footerReference r:id="rId6" w:type="default"/>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lade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adea" w:cs="Caladea" w:eastAsia="Caladea" w:hAnsi="Caladea"/>
        <w:b w:val="1"/>
        <w:bCs w:val="1"/>
        <w:sz w:val="24"/>
        <w:szCs w:val="24"/>
        <w:lang w:val="c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sz w:val="48"/>
      <w:szCs w:val="48"/>
    </w:rPr>
  </w:style>
  <w:style w:type="paragraph" w:styleId="Heading2">
    <w:name w:val="heading 2"/>
    <w:basedOn w:val="Normal"/>
    <w:next w:val="Normal"/>
    <w:pPr>
      <w:keepNext w:val="1"/>
      <w:keepLines w:val="1"/>
      <w:spacing w:after="80" w:before="360" w:lineRule="auto"/>
    </w:pPr>
    <w:rPr>
      <w:sz w:val="36"/>
      <w:szCs w:val="36"/>
    </w:rPr>
  </w:style>
  <w:style w:type="paragraph" w:styleId="Heading3">
    <w:name w:val="heading 3"/>
    <w:basedOn w:val="Normal"/>
    <w:next w:val="Normal"/>
    <w:pPr>
      <w:keepNext w:val="1"/>
      <w:keepLines w:val="1"/>
      <w:spacing w:after="80" w:before="280" w:lineRule="auto"/>
    </w:pPr>
    <w:rPr>
      <w:sz w:val="28"/>
      <w:szCs w:val="28"/>
    </w:rPr>
  </w:style>
  <w:style w:type="paragraph" w:styleId="Heading4">
    <w:name w:val="heading 4"/>
    <w:basedOn w:val="Normal"/>
    <w:next w:val="Normal"/>
    <w:pPr>
      <w:keepNext w:val="1"/>
      <w:keepLines w:val="1"/>
      <w:spacing w:after="40" w:before="240" w:lineRule="auto"/>
    </w:pPr>
    <w:rPr/>
  </w:style>
  <w:style w:type="paragraph" w:styleId="Heading5">
    <w:name w:val="heading 5"/>
    <w:basedOn w:val="Normal"/>
    <w:next w:val="Normal"/>
    <w:pPr>
      <w:keepNext w:val="1"/>
      <w:keepLines w:val="1"/>
      <w:spacing w:after="40" w:before="220" w:lineRule="auto"/>
    </w:pPr>
    <w:rPr>
      <w:sz w:val="22"/>
      <w:szCs w:val="22"/>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ladea-regular.ttf"/><Relationship Id="rId2" Type="http://schemas.openxmlformats.org/officeDocument/2006/relationships/font" Target="fonts/Caladea-bold.ttf"/><Relationship Id="rId3" Type="http://schemas.openxmlformats.org/officeDocument/2006/relationships/font" Target="fonts/Caladea-italic.ttf"/><Relationship Id="rId4" Type="http://schemas.openxmlformats.org/officeDocument/2006/relationships/font" Target="fonts/Calade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