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widowControl w:val="0"/>
        <w:spacing w:after="200" w:before="200" w:line="276" w:lineRule="auto"/>
        <w:jc w:val="center"/>
        <w:rPr>
          <w:rFonts w:ascii="Times New Roman" w:cs="Times New Roman" w:eastAsia="Times New Roman" w:hAnsi="Times New Roman"/>
          <w:b w:val="1"/>
          <w:bCs w:val="1"/>
          <w:sz w:val="36"/>
          <w:szCs w:val="36"/>
        </w:rPr>
      </w:pPr>
      <w:bookmarkStart w:colFirst="0" w:colLast="0" w:name="_gjdgxs" w:id="0"/>
      <w:bookmarkEnd w:id="0"/>
      <w:r w:rsidDel="00000000" w:rsidR="00000000" w:rsidRPr="00000000">
        <w:rPr>
          <w:rFonts w:ascii="Times New Roman" w:cs="Times New Roman" w:eastAsia="Times New Roman" w:hAnsi="Times New Roman"/>
          <w:b w:val="1"/>
          <w:bCs w:val="1"/>
          <w:sz w:val="36"/>
          <w:szCs w:val="36"/>
          <w:rtl w:val="0"/>
        </w:rPr>
        <w:t xml:space="preserve">PARLAMENT ČESKÉ REPUBLIKY</w:t>
      </w:r>
    </w:p>
    <w:p w:rsidR="00000000" w:rsidDel="00000000" w:rsidP="00000000" w:rsidRDefault="00000000" w:rsidRPr="00000000" w14:paraId="00000002">
      <w:pPr>
        <w:widowControl w:val="0"/>
        <w:tabs>
          <w:tab w:val="center" w:leader="none" w:pos="4536"/>
          <w:tab w:val="right" w:leader="none" w:pos="9072"/>
        </w:tabs>
        <w:spacing w:after="200" w:before="200" w:line="276"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ab/>
        <w:t xml:space="preserve">Poslanecká sněmovna</w:t>
        <w:tab/>
      </w:r>
    </w:p>
    <w:p w:rsidR="00000000" w:rsidDel="00000000" w:rsidP="00000000" w:rsidRDefault="00000000" w:rsidRPr="00000000" w14:paraId="00000003">
      <w:pPr>
        <w:widowControl w:val="0"/>
        <w:spacing w:after="200" w:before="200" w:line="276"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2026</w:t>
      </w:r>
    </w:p>
    <w:p w:rsidR="00000000" w:rsidDel="00000000" w:rsidP="00000000" w:rsidRDefault="00000000" w:rsidRPr="00000000" w14:paraId="00000004">
      <w:pPr>
        <w:widowControl w:val="0"/>
        <w:spacing w:after="200" w:before="200" w:line="276"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X. volební období</w:t>
      </w:r>
    </w:p>
    <w:p w:rsidR="00000000" w:rsidDel="00000000" w:rsidP="00000000" w:rsidRDefault="00000000" w:rsidRPr="00000000" w14:paraId="00000005">
      <w:pPr>
        <w:widowControl w:val="0"/>
        <w:spacing w:after="200" w:before="200"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___________________________________________________________</w:t>
      </w:r>
    </w:p>
    <w:p w:rsidR="00000000" w:rsidDel="00000000" w:rsidP="00000000" w:rsidRDefault="00000000" w:rsidRPr="00000000" w14:paraId="00000006">
      <w:pPr>
        <w:widowControl w:val="0"/>
        <w:spacing w:after="200" w:before="200"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7">
      <w:pPr>
        <w:widowControl w:val="0"/>
        <w:spacing w:after="200" w:before="200" w:line="276"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8">
      <w:pPr>
        <w:keepNext w:val="1"/>
        <w:keepLines w:val="1"/>
        <w:widowControl w:val="0"/>
        <w:spacing w:after="200" w:before="200" w:line="276"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Pozměňovací návrh </w:t>
      </w:r>
    </w:p>
    <w:p w:rsidR="00000000" w:rsidDel="00000000" w:rsidP="00000000" w:rsidRDefault="00000000" w:rsidRPr="00000000" w14:paraId="00000009">
      <w:pPr>
        <w:keepNext w:val="1"/>
        <w:keepLines w:val="1"/>
        <w:widowControl w:val="0"/>
        <w:spacing w:after="200" w:before="240" w:line="276"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poslankyň a poslanců </w:t>
      </w:r>
    </w:p>
    <w:p w:rsidR="00000000" w:rsidDel="00000000" w:rsidP="00000000" w:rsidRDefault="00000000" w:rsidRPr="00000000" w14:paraId="0000000A">
      <w:pPr>
        <w:keepNext w:val="1"/>
        <w:keepLines w:val="1"/>
        <w:widowControl w:val="0"/>
        <w:spacing w:after="200" w:before="240" w:line="276"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Olgy Richterové, Ivana Bartoše, Zdeňka Hřiba, Veroniky Kovářové, Barbory Pipášové a Venduly Svobodové </w:t>
      </w:r>
    </w:p>
    <w:p w:rsidR="00000000" w:rsidDel="00000000" w:rsidP="00000000" w:rsidRDefault="00000000" w:rsidRPr="00000000" w14:paraId="0000000B">
      <w:pPr>
        <w:widowControl w:val="0"/>
        <w:spacing w:after="200" w:before="200" w:line="276"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C">
      <w:pPr>
        <w:widowControl w:val="0"/>
        <w:spacing w:after="200" w:before="200" w:line="276"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D">
      <w:pPr>
        <w:spacing w:after="200" w:before="20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 komplexnímu pozměňovacímu návrhu uvedenému v usnesení hospodářského výboru č. 55 ze dne 30. dubna 2026 k</w:t>
      </w:r>
    </w:p>
    <w:p w:rsidR="00000000" w:rsidDel="00000000" w:rsidP="00000000" w:rsidRDefault="00000000" w:rsidRPr="00000000" w14:paraId="0000000E">
      <w:pPr>
        <w:spacing w:after="36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[k návrhu poslanců Andreje Babiše, Karla Havlíčka, Tomia Okamury, Petra Macinky, Aleny Schillerové, Zuzany Schwarz Bařtipánové, Radima Fialy, Borise Šťastného, Vojtěcha Krňanského a Marie Pošarové na vydání zákona, kterým se mění zákon č. 283/2021 Sb., stavební zákon, ve znění pozdějších předpisů, a některé další související zákony]</w:t>
      </w:r>
      <w:r w:rsidDel="00000000" w:rsidR="00000000" w:rsidRPr="00000000">
        <w:rPr>
          <w:rtl w:val="0"/>
        </w:rPr>
      </w:r>
    </w:p>
    <w:p w:rsidR="00000000" w:rsidDel="00000000" w:rsidP="00000000" w:rsidRDefault="00000000" w:rsidRPr="00000000" w14:paraId="0000000F">
      <w:pPr>
        <w:widowControl w:val="0"/>
        <w:spacing w:after="200" w:before="200" w:line="276" w:lineRule="auto"/>
        <w:jc w:val="both"/>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10">
      <w:pPr>
        <w:widowControl w:val="0"/>
        <w:spacing w:after="200" w:before="20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40"/>
          <w:szCs w:val="40"/>
          <w:rtl w:val="0"/>
        </w:rPr>
        <w:t xml:space="preserve">ST 67/11</w:t>
      </w:r>
      <w:r w:rsidDel="00000000" w:rsidR="00000000" w:rsidRPr="00000000">
        <w:rPr>
          <w:rtl w:val="0"/>
        </w:rPr>
      </w:r>
    </w:p>
    <w:p w:rsidR="00000000" w:rsidDel="00000000" w:rsidP="00000000" w:rsidRDefault="00000000" w:rsidRPr="00000000" w14:paraId="00000011">
      <w:pPr>
        <w:widowControl w:val="0"/>
        <w:spacing w:after="200" w:before="200"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2">
      <w:pPr>
        <w:widowControl w:val="0"/>
        <w:spacing w:after="200" w:before="200" w:line="27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3">
      <w:pPr>
        <w:widowControl w:val="0"/>
        <w:spacing w:after="200" w:before="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Datum: </w:t>
      </w:r>
      <w:r w:rsidDel="00000000" w:rsidR="00000000" w:rsidRPr="00000000">
        <w:rPr>
          <w:rFonts w:ascii="Times New Roman" w:cs="Times New Roman" w:eastAsia="Times New Roman" w:hAnsi="Times New Roman"/>
          <w:sz w:val="24"/>
          <w:szCs w:val="24"/>
          <w:rtl w:val="0"/>
        </w:rPr>
        <w:t xml:space="preserve">27. 5. 2026</w:t>
      </w:r>
      <w:r w:rsidDel="00000000" w:rsidR="00000000" w:rsidRPr="00000000">
        <w:br w:type="page"/>
      </w:r>
      <w:r w:rsidDel="00000000" w:rsidR="00000000" w:rsidRPr="00000000">
        <w:rPr>
          <w:rtl w:val="0"/>
        </w:rPr>
      </w:r>
    </w:p>
    <w:p w:rsidR="00000000" w:rsidDel="00000000" w:rsidP="00000000" w:rsidRDefault="00000000" w:rsidRPr="00000000" w14:paraId="00000014">
      <w:pPr>
        <w:widowControl w:val="0"/>
        <w:spacing w:after="200" w:before="200" w:line="276" w:lineRule="auto"/>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Komplexní pozměňovací návrh uvedený v usnesení hospodářského výboru č. 55 ze dne 30. dubna 2026 k návrhu poslanců Andreje Babiše, Karla Havlíčka, Tomia Okamury, Petra Macinky, Aleny Schillerové, Zuzany Schwarz Bařtipánové, Radima Fialy, Borise Šťastného, Vojtěcha Krňanského a Marie Pošarové na vydání zákona, kterým se mění zákon č. 283/2021 Sb., stavební zákon, ve znění pozdějších předpisů, a některé další související zákony (sněmovní tisk 67/11), se mění takto:</w:t>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200" w:line="276" w:lineRule="auto"/>
        <w:ind w:left="720" w:right="0" w:hanging="360"/>
        <w:jc w:val="both"/>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  části první v </w:t>
      </w:r>
      <w:r w:rsidDel="00000000" w:rsidR="00000000" w:rsidRPr="00000000">
        <w:rPr>
          <w:rFonts w:ascii="Times New Roman" w:cs="Times New Roman" w:eastAsia="Times New Roman" w:hAnsi="Times New Roman"/>
          <w:sz w:val="24"/>
          <w:szCs w:val="24"/>
          <w:rtl w:val="0"/>
        </w:rPr>
        <w:t xml:space="preserve">Čl.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 se v bodě 37</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 </w:t>
      </w:r>
      <w:r w:rsidDel="00000000" w:rsidR="00000000" w:rsidRPr="00000000">
        <w:rPr>
          <w:rFonts w:ascii="Times New Roman" w:cs="Times New Roman" w:eastAsia="Times New Roman" w:hAnsi="Times New Roman"/>
          <w:sz w:val="24"/>
          <w:szCs w:val="24"/>
          <w:rtl w:val="0"/>
        </w:rPr>
        <w:t xml:space="preserve">navrhovaném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17a </w:t>
      </w:r>
      <w:r w:rsidDel="00000000" w:rsidR="00000000" w:rsidRPr="00000000">
        <w:rPr>
          <w:rFonts w:ascii="Times New Roman" w:cs="Times New Roman" w:eastAsia="Times New Roman" w:hAnsi="Times New Roman"/>
          <w:sz w:val="24"/>
          <w:szCs w:val="24"/>
          <w:rtl w:val="0"/>
        </w:rPr>
        <w:t xml:space="preserve">doplňují</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odstavce 6 až 10, které zn</w:t>
      </w:r>
      <w:r w:rsidDel="00000000" w:rsidR="00000000" w:rsidRPr="00000000">
        <w:rPr>
          <w:rFonts w:ascii="Times New Roman" w:cs="Times New Roman" w:eastAsia="Times New Roman" w:hAnsi="Times New Roman"/>
          <w:sz w:val="24"/>
          <w:szCs w:val="24"/>
          <w:rtl w:val="0"/>
        </w:rPr>
        <w:t xml:space="preserve">ějí</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276" w:lineRule="auto"/>
        <w:ind w:left="72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 Úřad se vnitřně člení do oddělení. Rozdělení jednotlivých věcí, které mají být při postupech podle části šesté Úřadem projednány a rozhodnuty do jednotlivých oddělení se řídí rozvrhem práce.</w:t>
      </w: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276" w:lineRule="auto"/>
        <w:ind w:left="72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 Rozvrh práce vydává na období kalendářního roku předseda Úřadu. Rozvrh práce musí být vydán nejpozději do konce předchozího kalendářního roku. V průběhu kalendářního roku může předseda Úřadu rozvrh práce změnit, jen jestliže to vyžaduje potřeba nového rozdělení prací. Změna rozvrhu práce je účinná ode dne následujícího po jejím vydání, nebyl-li určen den pozdější.</w:t>
      </w: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276" w:lineRule="auto"/>
        <w:ind w:left="947" w:right="0" w:hanging="227.00000000000003"/>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 V rozvrhu práce se zejména</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276"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jmenovitě určují oprávněné úřední osoby, které budou působit v jednotlivých odděleních,</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276"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 stanovují pravidla přidělování věcí oddělením tak, aby pracovní vytížení jednotlivých oddělení bylo pokud  možno stejné,</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276" w:lineRule="auto"/>
        <w:ind w:left="72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 určují oprávněné úřední osoby, které budou zastupovat v jednotlivých odděleních oprávněné úřední osoby, které se nemohou na projednání a rozhodnutí věci podílet z důvodu jejich nepřítomnosti, vyloučení nebo z jiných důvodů stanovených zákonem.</w:t>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276" w:lineRule="auto"/>
        <w:ind w:left="72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 Rozvrhem práce pro následující kalendářní rok nebo změnou rozvrhu práce nesmí být dotčeno rozdělení věcí a, pokud je to možné, ani zařazení oprávněných úředních osob do jednotlivých oddělení, provedené před jejich účinností. To neplatí, došlo-li ke zřízení nového oddělení nebo jeho zrušení.</w:t>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276"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 Platné znění rozvrhu práce Úřad zveřejní.“.</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13" w:before="120" w:line="264" w:lineRule="auto"/>
        <w:ind w:left="720" w:right="0" w:hanging="360"/>
        <w:jc w:val="both"/>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  části první</w:t>
      </w:r>
      <w:r w:rsidDel="00000000" w:rsidR="00000000" w:rsidRPr="00000000">
        <w:rPr>
          <w:rFonts w:ascii="Times New Roman" w:cs="Times New Roman" w:eastAsia="Times New Roman" w:hAnsi="Times New Roman"/>
          <w:sz w:val="24"/>
          <w:szCs w:val="24"/>
          <w:rtl w:val="0"/>
        </w:rPr>
        <w:t xml:space="preserve"> v Čl.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v bodě 84 se v navrh</w:t>
      </w:r>
      <w:r w:rsidDel="00000000" w:rsidR="00000000" w:rsidRPr="00000000">
        <w:rPr>
          <w:rFonts w:ascii="Times New Roman" w:cs="Times New Roman" w:eastAsia="Times New Roman" w:hAnsi="Times New Roman"/>
          <w:sz w:val="24"/>
          <w:szCs w:val="24"/>
          <w:rtl w:val="0"/>
        </w:rPr>
        <w:t xml:space="preserve">ovaném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37 </w:t>
      </w:r>
      <w:r w:rsidDel="00000000" w:rsidR="00000000" w:rsidRPr="00000000">
        <w:rPr>
          <w:rFonts w:ascii="Times New Roman" w:cs="Times New Roman" w:eastAsia="Times New Roman" w:hAnsi="Times New Roman"/>
          <w:sz w:val="24"/>
          <w:szCs w:val="24"/>
          <w:rtl w:val="0"/>
        </w:rPr>
        <w:t xml:space="preserve">na konci textu</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odstavc</w:t>
      </w:r>
      <w:r w:rsidDel="00000000" w:rsidR="00000000" w:rsidRPr="00000000">
        <w:rPr>
          <w:rFonts w:ascii="Times New Roman" w:cs="Times New Roman" w:eastAsia="Times New Roman" w:hAnsi="Times New Roman"/>
          <w:sz w:val="24"/>
          <w:szCs w:val="24"/>
          <w:rtl w:val="0"/>
        </w:rPr>
        <w:t xml:space="preserve">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3 doplňují slova: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„Tyto oprávněné úřední osoby posoudí, zda lze z hlediska požadavků jiných právních předpisů záměr povolit, případně za jakých podmínek Při tomto posouzení nejsou vázány příkazy představených, kteří nesplňují kvalifikační požadavky podle jiných právních předpisů a nemají osvědčení o zvláštní odborné způsobilosti pro úředníky územních samosprávných celků pro příslušnou správní činnost nebo osvědčení o úspěšném vykonání úřednické zkoušky pro příslušný obor. Výsledek posouzení se zaznamená do evidence stavebních postupů.“</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48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200" w:line="276" w:lineRule="auto"/>
        <w:ind w:left="720" w:right="0" w:hanging="360"/>
        <w:jc w:val="both"/>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 části první v </w:t>
      </w:r>
      <w:r w:rsidDel="00000000" w:rsidR="00000000" w:rsidRPr="00000000">
        <w:rPr>
          <w:rFonts w:ascii="Times New Roman" w:cs="Times New Roman" w:eastAsia="Times New Roman" w:hAnsi="Times New Roman"/>
          <w:sz w:val="24"/>
          <w:szCs w:val="24"/>
          <w:rtl w:val="0"/>
        </w:rPr>
        <w:t xml:space="preserve">Č</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 I se za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bod 558 vkládá nový bod 559, který zní:</w:t>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276" w:lineRule="auto"/>
        <w:ind w:left="72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559. V § 272 </w:t>
      </w:r>
      <w:r w:rsidDel="00000000" w:rsidR="00000000" w:rsidRPr="00000000">
        <w:rPr>
          <w:rFonts w:ascii="Times New Roman" w:cs="Times New Roman" w:eastAsia="Times New Roman" w:hAnsi="Times New Roman"/>
          <w:sz w:val="24"/>
          <w:szCs w:val="24"/>
          <w:rtl w:val="0"/>
        </w:rPr>
        <w:t xml:space="preserve">se doplňuje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odstavec 6, který zní: </w:t>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276" w:lineRule="auto"/>
        <w:ind w:left="720" w:right="0" w:firstLine="0"/>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Každý má právo na přístup k rozvrhu práce Úřadu v evidenci stavebních postupů.“.</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276" w:lineRule="auto"/>
        <w:ind w:left="72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Následující novelizační body se přečíslují.</w:t>
      </w:r>
      <w:r w:rsidDel="00000000" w:rsidR="00000000" w:rsidRPr="00000000">
        <w:br w:type="page"/>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276"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 d ů v o d n ě n í</w:t>
      </w:r>
    </w:p>
    <w:p w:rsidR="00000000" w:rsidDel="00000000" w:rsidP="00000000" w:rsidRDefault="00000000" w:rsidRPr="00000000" w14:paraId="00000025">
      <w:pPr>
        <w:spacing w:after="200" w:before="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 Obecná část</w:t>
      </w:r>
      <w:r w:rsidDel="00000000" w:rsidR="00000000" w:rsidRPr="00000000">
        <w:rPr>
          <w:rtl w:val="0"/>
        </w:rPr>
      </w:r>
    </w:p>
    <w:p w:rsidR="00000000" w:rsidDel="00000000" w:rsidP="00000000" w:rsidRDefault="00000000" w:rsidRPr="00000000" w14:paraId="00000026">
      <w:pPr>
        <w:spacing w:after="200" w:before="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Návrhy reagují na obavy a kritiku spojené se vznikem nové soustavy správních orgánů v oblasti územního plánování a povolování staveb a s tím spojeným rozšířením pravomocí stavebních úřadů v rámci integrovaného rozhodování. </w:t>
      </w:r>
    </w:p>
    <w:p w:rsidR="00000000" w:rsidDel="00000000" w:rsidP="00000000" w:rsidRDefault="00000000" w:rsidRPr="00000000" w14:paraId="00000027">
      <w:pPr>
        <w:spacing w:after="200" w:before="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Tyto obavy se týkají jednak případných korupčních a klientelistických rizik spojených s „koncentrací pravomoci“, a to zejména u ústředního Úřadu rozvoje území ČR (Úřad), který má jako jediný úřad s celostátní pravomocí rozhodovat o povolení všech vyhrazených staveb, navíc bez možnosti řádného opravného prostředku – rozkladu (§ 32 odst. 2). To vzbuzuje obavy spojené s možnými pokusy o ovlivnění relativně malého počtu úředních osob, které se na rozhodování konkrétní věci budou podílet, případně z netransparentního a účelového přidělování věcí těmto úředním osobám. </w:t>
      </w:r>
    </w:p>
    <w:p w:rsidR="00000000" w:rsidDel="00000000" w:rsidP="00000000" w:rsidRDefault="00000000" w:rsidRPr="00000000" w14:paraId="00000028">
      <w:pPr>
        <w:spacing w:after="200" w:before="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Dále jsou dlouhodobě prezentovány obavy z možného snížení odborné úrovně rozhodování ve vztahu k ochraně jednotlivých dotčených veřejných zájmů, zejména životního prostředí, v důsledku přechodu dosavadních pravomocí dotčených orgánů na stavební úřady. </w:t>
      </w:r>
    </w:p>
    <w:p w:rsidR="00000000" w:rsidDel="00000000" w:rsidP="00000000" w:rsidRDefault="00000000" w:rsidRPr="00000000" w14:paraId="00000029">
      <w:pPr>
        <w:spacing w:after="200" w:before="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Pozměňovací návrh ve vztahu k prvnímu z výše uvedených rizik navrhuje zakotvení institutu veřejně přístupného rozvrhu práce Úřadu, který by zajistil transparentní pravidla přidělování jednotlivých věcí (v prvostupňovém i odvolacím řízení) jednotlivým oddělením úřadu a konkrétním úředním osobám, včetně jejich vzájemného zastupování. </w:t>
      </w:r>
    </w:p>
    <w:p w:rsidR="00000000" w:rsidDel="00000000" w:rsidP="00000000" w:rsidRDefault="00000000" w:rsidRPr="00000000" w14:paraId="0000002A">
      <w:pPr>
        <w:spacing w:after="200" w:before="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 vztahu ke druhému z uvedených problémů se navrhuje doplnit v návrhu novely již obsažené pravidlo, podle nějž se na posuzování záměru z hlediska požadavků jednotlivých právních předpisů musí podílet úřední osoby s příslušnou odbornou kvalifikací, dalšími souvisejícími pravidly. Ta by měla zajistit, že odborné posouzení příslušné úřední osoby nemůže být překonáno pokynem nadřízené úřední osoby bez příslušné kvalifikace a že výsledek tohoto posouzení bude zaznamenán v evidenci stavebních postupů, aby se s ním účastníci řízení mohli seznámit. </w:t>
      </w:r>
    </w:p>
    <w:p w:rsidR="00000000" w:rsidDel="00000000" w:rsidP="00000000" w:rsidRDefault="00000000" w:rsidRPr="00000000" w14:paraId="0000002B">
      <w:pPr>
        <w:spacing w:after="200" w:before="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 Zvláštní část</w:t>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 bodům 1 a 3 (§ 17a odst. 6 až 10, § 272 odst. 6)</w:t>
      </w: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Navrhuje se aplikovat institut „rozvrhu práce“, který je tradičně využíván v justici, pro činnost Úřadu rozvoje území ČR. Koncentrace integrovaných pravomocí u strategických staveb do jednoho úřadu, rozhodujícího navíc bez opravného prostředku, vytváří prostor pro ovlivňování výsledků řízení účelovým přidělováním konkrétních případů vybraným úředníkům. Cílem je návrhu je této možnosti zabránit.</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 rozhodování Úřadu v takto závažných případech je vhodné analogicky aplikovat principy, které Ústavní soud dovodil z práva na zákonného soudce (čl. 38 odst. 1 Listiny základních práv a svobod) ve spojení s právem na spravedlivý proces a dobrou správu (čl. 36 odst. 1 Listiny) a ústavním zákazem libovůle (čl. 2 odst. 2 Listiny). Jak Ústavní soud konstatoval v nálezu sp. zn.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 ÚS 1206/14</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rozvrh práce představuje základní nástroj, kterým se v praxi realizuje právo na to, aby byla věc projednána objektivně, nezávisle a nestranně. Přidělení věci konkrétní osobě je při využití rozvrhu práce založeno na předem daných a transparentních procesních pravidlech. K totožným závěrům dospěl Ústavní soud i v nálezu sp. zn.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 ÚS 2769/15</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 němž zdůraznil, že rozvrh práce musí obsahovat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„transparentní předem stanovená obecná pravidla pro určení konkrétního soudce“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to jak pro prvotní přidělení, tak pro případné přerozdělení z důvodu absence. </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Podle odborné literatury (např.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David Kosař: Rozvrh práce: klíčový nástroj pro boj s korupcí soudců a nezbytný předpoklad nezávislosti řadových soudců, Právník 12/2014</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rozvrh práce plní dvě nezastupitelné funkce: Zaprvé jde o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protikorupční nástroj, zajišťující externí nezávislost rozhodování.</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Náhodné nebo přísně algoritmické a předem dané rozdělování spisů radikálně zvyšuje „náklady na korupci”. Klientelistické skupiny nemohou předvídat, komu případ napadne, ani nemohou přes vedení úřadu zajistit přidělení spisu konkrétnímu úředníkovi. Druhou funkcí je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interní nezávislost řadových úředních osob.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Rozvrh práce chrání samotné rozhodující úředníky před tlaky zevnitř úřadu. Ústavní soud v nálezu sp. zn. I. ÚS 2769/15 výslovně konstatoval, že rozvrh práce chrání i samotné rozhodující osoby a že „neobstojí ani argument ekonomií řízení, zkrácením délky řízení či zajištěním toho, ‚aby práva u soudu šla'", pokud se tak děje na úkor transparentního přidělování věcí. Zákonodárce považuje tuto funkci za obzvláště důležitou s ohledem na to, že oprávněné úřední osoby Úřadu budou rozhodovat o politicky a ekonomicky vysoce citlivých záměrech, u nichž lze předpokládat intenzivní tlak zájmových skupin.</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Zkušenosti z justice přitom ukazují, že pokušení ovlivňovat přidělování věcí je nejsilnější tam, kde jde o vysoké majetkové hodnoty. Jak dokládají české kauzy z oblasti insolvenčního práva i zahraniční příklady (srov. rozsudky Evropského soudu pro lidská práva ve věcech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DMD Group a.s. proti Slovensku</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č. 19334/03;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Moiseyev proti Rusku</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č. 62936/00; či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Sutyagin proti Rusku</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č. 30024/02), absence transparentního přidělování věcí vytváří korupční podhoubí i tam, kde samotná právní úprava formálně vyhovuje obecným standardům spravedlivého procesu. Evropský soud pro lidská práva klade ve své judikatuře stále větší důraz na to, aby přidělování věcí splňovalo kritérium transparentnosti, neboť v sázce je důvěra, kterou rozhodující orgány musejí vyvolávat u veřejnosti a zejména u účastníků řízení.</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Z českých zkušeností je relevantní rovněž zjištění Bezpečnostní informační služby, která ve svých výročních zprávách za roky 2010 a 2011 informovala o případech manipulace s přidělováním spisů na českých soudech. Stejně tak kárná řízení vedená proti soudním funkcionářům v České republice (např. kárné řízení s předsedkyní Městského soudu v Brně, sp. zn. 1 Ds 14/2008, či s místopředsedou Krajského soudu v Brně, sp. zn. 11 Kss 18/2011) dokumentují, že absence dostatečně striktních pravidel pro přidělování věcí vede k jejich obcházení, a to i v prostředí, které je tradičně pod zvýšeným veřejným dohledem. Lze proto důvodně předpokládat, že tato rizika jsou přinejmenším srovnatelná i v prostředí správního orgánu rozhodujícího o strategických stavbách.</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Navrhovaná úprava přejímá osvědčenou systematiku § 41 a § 42 zákona č. 6/2002 Sb., o soudech a soudcích, a přizpůsobuje ji podmínkám činnosti Úřadu. Rozvrh práce musí jmenovitě určit oprávněné úřední osoby působící v jednotlivých odděleních, stanovit pravidla přidělování věcí oddělením při co možná rovnoměrném pracovním vytížení a určit zástupce pro případ nepřítomnosti, vyloučení nebo jiných důvodů stanovených zákonem. Požadavek na stanovení pravidel přidělování věcí v sobě zahrnuje i požadavek na jejich transparentnost, předvídatelnost a zpětnou ověřitelnost, jak je dovodil Ústavní soud ve své judikatuře (srov. nálezy sp. zn. IV. ÚS 307/03; I. ÚS 93/99; II. ÚS 2747/08; IV. ÚS 1302/10; IV. ÚS 2053/12).</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Pravidlo o zachování rozdělení věcí a zařazení oprávněných úředních osob při změně rozvrhu práce (odst. 9) představuje zákonnou pojistku proti dodatečnému přerozdělování již přidělených věcí, a to v souladu s principem, který v justici zakotvuje § 42 odst. 4 zákona o soudech a soudcích. Pravidla pro následné přerozdělování spisů jsou stejně důležitá jako pravidla pro prvotní přidělování. I kdyby bylo prvotní přidělování nastaveno sebedokonaleji, bez patřičné pozornosti věnované pravidlům pro přerozdělování by výsledný efekt mohl být stejný jako při děravém prvotním přidělování.</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Zveřejnění rozvrhu práce a jeho všeobecná dostupnost v evidenci stavebních postupů  garantuje veřejnou kontrolu nad tím, že Úřad dodržuje vlastní pravidla přidělování věcí. Tento požadavek odpovídá principu transparentnosti veřejné správy a umožňuje účastníkům řízení i veřejnosti zpětně ověřit, zda byla věc přidělena v souladu s předem stanovenými pravidly. Ústavní soud opakovaně zdůrazňoval požadavek předvídatelnosti a transparentnosti obsazení rozhodujícího orgánu pro účastníky řízení jako jednu z podmínek plynoucích z čl. 38 odst. 1 Listiny (srov. nález sp. zn. IV. ÚS 2053/12 ze dne 1. 11. 2012).</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 bodu 2 (§ 37 odst. 3)</w:t>
      </w: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Návrh reaguje na obavu ze ztráty odbornosti a ochrany dílčích veřejných zájmů (např. ochrana přírody a krajiny, památková péče, ochrana ovzduší) při plné integraci dotčených orgánů do struktury stavebních úřadů. Hrozí totiž situace, kdy specializovaný referent vyhodnotí záměr jako neakceptovatelný z hlediska konkrétního právního předpisu, ale jeho přímý nadřízený s odlišnou kvalifikací mu formou služebního příkazu nařídí vydat stanovisko souhlasné.</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Zakotvením pravidla, že oprávněná úřední osoba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„není vázána příkazy představených, kteří nesplňují kvalifikační požadavky podle jiných právních předpisů“</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 vytváří nezbytný systém vnitřních brzd a protivah uvnitř samotného stavebního úřadu. Tím se zajišťuje, že odborné závěry plynoucí ze zákonů chránících životní prostředí či kulturní dědictví nebudou potlačeny čistě technokratickým či politickým tlakem vedení úřadu. Podle zákona o státní službě i zákoníku práce má sice představený právo vydávat příkazy, tento pozměňovací návrh však funguje jako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lex specialis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který v zájmu zachování kvality rozhodování brání neodborným zásahům. Stavební úřad sice vydává jediné integrované rozhodnutí, ale to musí být materiálně podloženo nezávislými a odborně nezkreslenými vstupy dílčích specialistů.</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 případě jednoznačně stanovených podmínek k ochraně veřejných zájmů je posouzení příslušné odborně způsobilé úřední osoby závazné. Pokud tedy například příslušný úředník vyhodnotí, že záměr svými negativními důsledky přesahuje limitní hodnoty stanovené právními předpisy, a tomuto následku nelze zabránit uložením podmínek, není možné záměr povolit. </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Klíčovým doplňkem tohoto pravidla je věta: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„Výsledek posouzení se zaznamená do evidence stavebních postupů.“</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Tímto krokem je garantována transparentnost rozhodovacího procesu. Pokud oprávněná úřední osoba konstatuje, že záměr nesplňuje limity například v oblasti ochrany ovzduší, tento závěr zůstane trvale a transparentně zaznamenán v informačním systému stavební správy. Díky tomu se předejde praxi, kdy by nepohodlná odborná stanoviska „mizela“ v průběhu přípravy finálního rozhodnutí. Účastníci řízení, ale i případné soudy v rámci následného soudního přezkumu, budou moci z evidence stavebních postupů jasně vyčíst, jaké bylo původní nezávislé hodnocení specialisty a zda se s ním finální text integrovaného povolení dostatečně vypořádal.</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Návrh navazuje na navržené zakotvení rozvrhu práce. Zatímco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rozvrh práce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brání tomu, aby si vedení Úřadu vybíralo,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kdo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bude věc a její dílčí složky posuzovat,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garance nezávislosti a povinná evidence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brání tomu, aby vedení stavebního úřadu zasahovalo do toho,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jak</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přidělený specialista věc odborně posoudí. Společně tak oba návrhy zachovávají hlavní benefit integrace stavební správy (jedno řízení, jeden úřad, jedno razítko), a zároveň oslabují její hlavní rizika.</w:t>
      </w:r>
    </w:p>
    <w:p w:rsidR="00000000" w:rsidDel="00000000" w:rsidP="00000000" w:rsidRDefault="00000000" w:rsidRPr="00000000" w14:paraId="0000003B">
      <w:pPr>
        <w:spacing w:after="120" w:before="120" w:line="276" w:lineRule="auto"/>
        <w:jc w:val="both"/>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3C">
      <w:pPr>
        <w:spacing w:after="6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PLATNÉ ZNĚNÍ DOTČENÝCH USTANOVENÍ ZÁKONA Č. 283/2021 SB., STAVEBNÍ ZÁKON, VE ZNĚNÍ POZDĚJŠÍCH PŘEDPISŮ, S VYZNAČENÍM NAVRHOVANÝCH ZMĚN A DOPLNĚNÍ</w:t>
      </w:r>
      <w:r w:rsidDel="00000000" w:rsidR="00000000" w:rsidRPr="00000000">
        <w:rPr>
          <w:rtl w:val="0"/>
        </w:rPr>
      </w:r>
    </w:p>
    <w:p w:rsidR="00000000" w:rsidDel="00000000" w:rsidP="00000000" w:rsidRDefault="00000000" w:rsidRPr="00000000" w14:paraId="0000003D">
      <w:pPr>
        <w:spacing w:after="12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spacing w:after="12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[změny provedené komplexním pozměňovacím návrhem </w:t>
      </w:r>
      <w:r w:rsidDel="00000000" w:rsidR="00000000" w:rsidRPr="00000000">
        <w:rPr>
          <w:rFonts w:ascii="Times New Roman" w:cs="Times New Roman" w:eastAsia="Times New Roman" w:hAnsi="Times New Roman"/>
          <w:b w:val="1"/>
          <w:bCs w:val="1"/>
          <w:sz w:val="24"/>
          <w:szCs w:val="24"/>
          <w:rtl w:val="0"/>
        </w:rPr>
        <w:t xml:space="preserve">ČERNĚ</w:t>
      </w:r>
      <w:r w:rsidDel="00000000" w:rsidR="00000000" w:rsidRPr="00000000">
        <w:rPr>
          <w:rFonts w:ascii="Times New Roman" w:cs="Times New Roman" w:eastAsia="Times New Roman" w:hAnsi="Times New Roman"/>
          <w:sz w:val="24"/>
          <w:szCs w:val="24"/>
          <w:rtl w:val="0"/>
        </w:rPr>
        <w:t xml:space="preserve">, změny provedené tímto pozměňovacím návrhem </w:t>
      </w:r>
      <w:r w:rsidDel="00000000" w:rsidR="00000000" w:rsidRPr="00000000">
        <w:rPr>
          <w:rFonts w:ascii="Times New Roman" w:cs="Times New Roman" w:eastAsia="Times New Roman" w:hAnsi="Times New Roman"/>
          <w:b w:val="1"/>
          <w:bCs w:val="1"/>
          <w:color w:val="ff0000"/>
          <w:sz w:val="24"/>
          <w:szCs w:val="24"/>
          <w:rtl w:val="0"/>
        </w:rPr>
        <w:t xml:space="preserve">ČERVENĚ</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3F">
      <w:pPr>
        <w:spacing w:after="0" w:before="120" w:line="276"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0">
      <w:pPr>
        <w:spacing w:after="0" w:before="12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17a</w:t>
      </w:r>
    </w:p>
    <w:p w:rsidR="00000000" w:rsidDel="00000000" w:rsidP="00000000" w:rsidRDefault="00000000" w:rsidRPr="00000000" w14:paraId="00000041">
      <w:pPr>
        <w:spacing w:after="0" w:before="12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Úřad</w:t>
      </w:r>
    </w:p>
    <w:p w:rsidR="00000000" w:rsidDel="00000000" w:rsidP="00000000" w:rsidRDefault="00000000" w:rsidRPr="00000000" w14:paraId="00000042">
      <w:pPr>
        <w:spacing w:after="0" w:before="120" w:line="276" w:lineRule="auto"/>
        <w:ind w:firstLine="708"/>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Úřad je ústředním správním úřadem ve věcech územního plánování, stavebního řádu, vyvlastnění a dalších věcí upravených tímto zákonem. Úřad metodicky sjednocuje činnost orgánů územního plánování a řídí a metodicky sjednocuje činnost stavebních úřadů; dále provádí výzkum, publikační činnost a řeší koncepční otázky teorie a praxe v oblasti rozvoje území, územního plánování, stavebního řádu, stavební kultury a vystavěného prostředí, urbanismu a architektury.</w:t>
      </w:r>
    </w:p>
    <w:p w:rsidR="00000000" w:rsidDel="00000000" w:rsidP="00000000" w:rsidRDefault="00000000" w:rsidRPr="00000000" w14:paraId="00000043">
      <w:pPr>
        <w:spacing w:after="0" w:before="120" w:line="276" w:lineRule="auto"/>
        <w:ind w:firstLine="708"/>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Sídlem Úřadu je Praha. Úřad může zřídit svá detašovaná územní pracoviště. </w:t>
      </w:r>
    </w:p>
    <w:p w:rsidR="00000000" w:rsidDel="00000000" w:rsidP="00000000" w:rsidRDefault="00000000" w:rsidRPr="00000000" w14:paraId="00000044">
      <w:pPr>
        <w:spacing w:after="0" w:before="120" w:line="276" w:lineRule="auto"/>
        <w:ind w:firstLine="708"/>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V čele Úřadu je předseda, kterého jmenuje a odvolává vláda na návrh ministra pro místní rozvoj. Předsedu zastupují v jím vymezených oblastech místopředsedové, které na návrh předsedy jmenuje a odvolává ministr pro místní rozvoj. V případech stanovených vnitřním předpisem Úřadu nebo na základě písemného pověření předsedy může v úřadech rozvoje území právně jednat jménem státu i jiný státní zaměstnanec. Orgán, který předsedu nebo místopředsedu jmenoval, ho odvolá, pokud přestane splňovat podmínky pro jmenování. </w:t>
      </w:r>
    </w:p>
    <w:p w:rsidR="00000000" w:rsidDel="00000000" w:rsidP="00000000" w:rsidRDefault="00000000" w:rsidRPr="00000000" w14:paraId="00000045">
      <w:pPr>
        <w:spacing w:after="0" w:before="120" w:line="276" w:lineRule="auto"/>
        <w:ind w:firstLine="708"/>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 Předseda a místopředsedové Úřadu jsou jmenováni na dobu 6 let a mohou být jmenováni opakovaně. Předsedou a místopředsedou Úřadu může být jmenována osoba, jejíž znalosti, zkušenosti a morální vlastnosti jsou předpokladem, že bude svoji funkci řádně zastávat, a která</w:t>
      </w:r>
    </w:p>
    <w:p w:rsidR="00000000" w:rsidDel="00000000" w:rsidP="00000000" w:rsidRDefault="00000000" w:rsidRPr="00000000" w14:paraId="00000046">
      <w:pPr>
        <w:spacing w:after="0" w:before="120"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je státním občanem České republiky,</w:t>
      </w:r>
    </w:p>
    <w:p w:rsidR="00000000" w:rsidDel="00000000" w:rsidP="00000000" w:rsidRDefault="00000000" w:rsidRPr="00000000" w14:paraId="00000047">
      <w:pPr>
        <w:spacing w:after="0" w:before="120"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 je plně svéprávná,</w:t>
      </w:r>
    </w:p>
    <w:p w:rsidR="00000000" w:rsidDel="00000000" w:rsidP="00000000" w:rsidRDefault="00000000" w:rsidRPr="00000000" w14:paraId="00000048">
      <w:pPr>
        <w:spacing w:after="0" w:before="120"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 je bezúhonná a</w:t>
      </w:r>
    </w:p>
    <w:p w:rsidR="00000000" w:rsidDel="00000000" w:rsidP="00000000" w:rsidRDefault="00000000" w:rsidRPr="00000000" w14:paraId="00000049">
      <w:pPr>
        <w:spacing w:after="0" w:before="120"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 má ukončené vysokoškolské vzdělání získané studiem v magisterském studijním programu.</w:t>
      </w:r>
    </w:p>
    <w:p w:rsidR="00000000" w:rsidDel="00000000" w:rsidP="00000000" w:rsidRDefault="00000000" w:rsidRPr="00000000" w14:paraId="0000004A">
      <w:pPr>
        <w:spacing w:after="0" w:before="120" w:line="276" w:lineRule="auto"/>
        <w:ind w:firstLine="708"/>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 S funkcí předsedy a místopředsedy Úřadu je neslučitelný výkon funkce člena řídícího, dozorčího nebo kontrolního orgánu podnikajících osob, výkon výdělečné činnosti s výjimkou správy vlastního majetku a činnosti vědecké, pedagogické, literární, publicistické a umělecké.</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113" w:before="120" w:line="264" w:lineRule="auto"/>
        <w:ind w:left="0" w:right="0" w:firstLine="709"/>
        <w:jc w:val="left"/>
        <w:rPr>
          <w:rFonts w:ascii="Times New Roman" w:cs="Times New Roman" w:eastAsia="Times New Roman" w:hAnsi="Times New Roman"/>
          <w:b w:val="1"/>
          <w:bCs w:val="1"/>
          <w:i w:val="0"/>
          <w:iCs w:val="0"/>
          <w:smallCaps w:val="0"/>
          <w:strike w:val="0"/>
          <w:color w:val="ee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ee0000"/>
          <w:sz w:val="24"/>
          <w:szCs w:val="24"/>
          <w:u w:val="none"/>
          <w:shd w:fill="auto" w:val="clear"/>
          <w:vertAlign w:val="baseline"/>
          <w:rtl w:val="0"/>
        </w:rPr>
        <w:t xml:space="preserve">(6) Úřad se vnitřně člení do oddělení. Rozdělení jednotlivých věcí, které mají být při postupech podle části šesté Úřadem projednány a rozhodnuty do jednotlivých oddělení se řídí rozvrhem práce. </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113" w:before="120" w:line="264" w:lineRule="auto"/>
        <w:ind w:left="0" w:right="0" w:firstLine="482"/>
        <w:jc w:val="left"/>
        <w:rPr>
          <w:rFonts w:ascii="Times New Roman" w:cs="Times New Roman" w:eastAsia="Times New Roman" w:hAnsi="Times New Roman"/>
          <w:b w:val="1"/>
          <w:bCs w:val="1"/>
          <w:i w:val="0"/>
          <w:iCs w:val="0"/>
          <w:smallCaps w:val="0"/>
          <w:strike w:val="0"/>
          <w:color w:val="ee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ee0000"/>
          <w:sz w:val="24"/>
          <w:szCs w:val="24"/>
          <w:u w:val="none"/>
          <w:shd w:fill="auto" w:val="clear"/>
          <w:vertAlign w:val="baseline"/>
          <w:rtl w:val="0"/>
        </w:rPr>
        <w:t xml:space="preserve">(7) Rozvrh práce vydává na období kalendářního roku předseda Úřadu. Rozvrh práce musí být vydán nejpozději do konce předchozího kalendářního roku. V průběhu kalendářního roku může předseda Úřadu rozvrh práce změnit, jen jestliže to vyžaduje potřeba nového rozdělení prací. Změna rozvrhu práce je účinná ode dne následujícího po jejím vydání, nebyl-li určen den pozdější.</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113" w:before="120" w:line="264" w:lineRule="auto"/>
        <w:ind w:left="0" w:right="0" w:firstLine="482"/>
        <w:jc w:val="left"/>
        <w:rPr>
          <w:rFonts w:ascii="Times New Roman" w:cs="Times New Roman" w:eastAsia="Times New Roman" w:hAnsi="Times New Roman"/>
          <w:b w:val="1"/>
          <w:bCs w:val="1"/>
          <w:i w:val="0"/>
          <w:iCs w:val="0"/>
          <w:smallCaps w:val="0"/>
          <w:strike w:val="0"/>
          <w:color w:val="ee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ee0000"/>
          <w:sz w:val="24"/>
          <w:szCs w:val="24"/>
          <w:u w:val="none"/>
          <w:shd w:fill="auto" w:val="clear"/>
          <w:vertAlign w:val="baseline"/>
          <w:rtl w:val="0"/>
        </w:rPr>
        <w:t xml:space="preserve">(8) V rozvrhu práce se zejména</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113" w:before="120" w:line="264" w:lineRule="auto"/>
        <w:ind w:left="0" w:right="0" w:firstLine="482"/>
        <w:jc w:val="left"/>
        <w:rPr>
          <w:rFonts w:ascii="Times New Roman" w:cs="Times New Roman" w:eastAsia="Times New Roman" w:hAnsi="Times New Roman"/>
          <w:b w:val="1"/>
          <w:bCs w:val="1"/>
          <w:i w:val="0"/>
          <w:iCs w:val="0"/>
          <w:smallCaps w:val="0"/>
          <w:strike w:val="0"/>
          <w:color w:val="ee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ee0000"/>
          <w:sz w:val="24"/>
          <w:szCs w:val="24"/>
          <w:u w:val="none"/>
          <w:shd w:fill="auto" w:val="clear"/>
          <w:vertAlign w:val="baseline"/>
          <w:rtl w:val="0"/>
        </w:rPr>
        <w:t xml:space="preserve">a) jmenovitě určují oprávněné úřední osoby, které budou působit v jednotlivých odděleních,</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113" w:before="120" w:line="264" w:lineRule="auto"/>
        <w:ind w:left="0" w:right="0" w:firstLine="482"/>
        <w:jc w:val="left"/>
        <w:rPr>
          <w:rFonts w:ascii="Times New Roman" w:cs="Times New Roman" w:eastAsia="Times New Roman" w:hAnsi="Times New Roman"/>
          <w:b w:val="1"/>
          <w:bCs w:val="1"/>
          <w:i w:val="0"/>
          <w:iCs w:val="0"/>
          <w:smallCaps w:val="0"/>
          <w:strike w:val="0"/>
          <w:color w:val="ee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ee0000"/>
          <w:sz w:val="24"/>
          <w:szCs w:val="24"/>
          <w:u w:val="none"/>
          <w:shd w:fill="auto" w:val="clear"/>
          <w:vertAlign w:val="baseline"/>
          <w:rtl w:val="0"/>
        </w:rPr>
        <w:t xml:space="preserve">b) stanovují pravidla přidělování věcí oddělením tak, aby pracovní vytížení jednotlivých oddělení bylo pokud  možno stejné,</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113" w:before="120" w:line="264" w:lineRule="auto"/>
        <w:ind w:left="0" w:right="0" w:firstLine="482"/>
        <w:jc w:val="left"/>
        <w:rPr>
          <w:rFonts w:ascii="Times New Roman" w:cs="Times New Roman" w:eastAsia="Times New Roman" w:hAnsi="Times New Roman"/>
          <w:b w:val="1"/>
          <w:bCs w:val="1"/>
          <w:i w:val="0"/>
          <w:iCs w:val="0"/>
          <w:smallCaps w:val="0"/>
          <w:strike w:val="0"/>
          <w:color w:val="ee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ee0000"/>
          <w:sz w:val="24"/>
          <w:szCs w:val="24"/>
          <w:u w:val="none"/>
          <w:shd w:fill="auto" w:val="clear"/>
          <w:vertAlign w:val="baseline"/>
          <w:rtl w:val="0"/>
        </w:rPr>
        <w:t xml:space="preserve">c) určují oprávněné úřední osoby, které budou zastupovat v jednotlivých odděleních oprávněné úřední osoby, které se nemohou na projednání a rozhodnutí věci podílet z důvodu jejich nepřítomnosti, vyloučení nebo z jiných důvodů stanovených zákonem.</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113" w:before="120" w:line="264" w:lineRule="auto"/>
        <w:ind w:left="0" w:right="0" w:firstLine="482"/>
        <w:jc w:val="left"/>
        <w:rPr>
          <w:rFonts w:ascii="Times New Roman" w:cs="Times New Roman" w:eastAsia="Times New Roman" w:hAnsi="Times New Roman"/>
          <w:b w:val="1"/>
          <w:bCs w:val="1"/>
          <w:i w:val="0"/>
          <w:iCs w:val="0"/>
          <w:smallCaps w:val="0"/>
          <w:strike w:val="0"/>
          <w:color w:val="ee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ee0000"/>
          <w:sz w:val="24"/>
          <w:szCs w:val="24"/>
          <w:u w:val="none"/>
          <w:shd w:fill="auto" w:val="clear"/>
          <w:vertAlign w:val="baseline"/>
          <w:rtl w:val="0"/>
        </w:rPr>
        <w:t xml:space="preserve"> (9) Rozvrhem práce pro následující kalendářní rok nebo změnou rozvrhu práce nesmí být dotčeno rozdělení věcí a, pokud je to možné, ani zařazení oprávněných úředních osob do jednotlivých oddělení, provedené před jejich účinností. To neplatí, došlo-li ke zřízení nového oddělení nebo jeho zrušení.</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113" w:before="120" w:line="264" w:lineRule="auto"/>
        <w:ind w:left="0" w:right="0" w:firstLine="482"/>
        <w:jc w:val="left"/>
        <w:rPr>
          <w:rFonts w:ascii="Times New Roman" w:cs="Times New Roman" w:eastAsia="Times New Roman" w:hAnsi="Times New Roman"/>
          <w:b w:val="1"/>
          <w:bCs w:val="1"/>
          <w:i w:val="0"/>
          <w:iCs w:val="0"/>
          <w:smallCaps w:val="0"/>
          <w:strike w:val="0"/>
          <w:color w:val="ee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ee0000"/>
          <w:sz w:val="24"/>
          <w:szCs w:val="24"/>
          <w:u w:val="none"/>
          <w:shd w:fill="auto" w:val="clear"/>
          <w:vertAlign w:val="baseline"/>
          <w:rtl w:val="0"/>
        </w:rPr>
        <w:t xml:space="preserve">(10) Platné znění rozvrhu práce Úřad zveřejní.</w:t>
      </w:r>
    </w:p>
    <w:p w:rsidR="00000000" w:rsidDel="00000000" w:rsidP="00000000" w:rsidRDefault="00000000" w:rsidRPr="00000000" w14:paraId="00000053">
      <w:pPr>
        <w:spacing w:after="0" w:before="120" w:line="276" w:lineRule="auto"/>
        <w:ind w:firstLine="708"/>
        <w:jc w:val="both"/>
        <w:rPr>
          <w:rFonts w:ascii="Times New Roman" w:cs="Times New Roman" w:eastAsia="Times New Roman" w:hAnsi="Times New Roman"/>
          <w:b w:val="1"/>
          <w:bCs w:val="1"/>
          <w:strike w:val="1"/>
          <w:sz w:val="24"/>
          <w:szCs w:val="24"/>
        </w:rPr>
      </w:pPr>
      <w:r w:rsidDel="00000000" w:rsidR="00000000" w:rsidRPr="00000000">
        <w:rPr>
          <w:rtl w:val="0"/>
        </w:rPr>
      </w:r>
    </w:p>
    <w:p w:rsidR="00000000" w:rsidDel="00000000" w:rsidP="00000000" w:rsidRDefault="00000000" w:rsidRPr="00000000" w14:paraId="00000054">
      <w:pPr>
        <w:widowControl w:val="0"/>
        <w:spacing w:after="120" w:before="120" w:line="276" w:lineRule="auto"/>
        <w:jc w:val="center"/>
        <w:rPr>
          <w:rFonts w:ascii="Times New Roman" w:cs="Times New Roman" w:eastAsia="Times New Roman" w:hAnsi="Times New Roman"/>
          <w:strike w:val="1"/>
          <w:sz w:val="24"/>
          <w:szCs w:val="24"/>
        </w:rPr>
      </w:pPr>
      <w:r w:rsidDel="00000000" w:rsidR="00000000" w:rsidRPr="00000000">
        <w:rPr>
          <w:rFonts w:ascii="Times New Roman" w:cs="Times New Roman" w:eastAsia="Times New Roman" w:hAnsi="Times New Roman"/>
          <w:strike w:val="1"/>
          <w:sz w:val="24"/>
          <w:szCs w:val="24"/>
          <w:rtl w:val="0"/>
        </w:rPr>
        <w:t xml:space="preserve">§ 37</w:t>
      </w:r>
    </w:p>
    <w:p w:rsidR="00000000" w:rsidDel="00000000" w:rsidP="00000000" w:rsidRDefault="00000000" w:rsidRPr="00000000" w14:paraId="00000055">
      <w:pPr>
        <w:widowControl w:val="0"/>
        <w:spacing w:after="120" w:before="120" w:line="276" w:lineRule="auto"/>
        <w:ind w:firstLine="567"/>
        <w:jc w:val="both"/>
        <w:rPr>
          <w:rFonts w:ascii="Times New Roman" w:cs="Times New Roman" w:eastAsia="Times New Roman" w:hAnsi="Times New Roman"/>
          <w:strike w:val="1"/>
          <w:sz w:val="24"/>
          <w:szCs w:val="24"/>
        </w:rPr>
      </w:pPr>
      <w:r w:rsidDel="00000000" w:rsidR="00000000" w:rsidRPr="00000000">
        <w:rPr>
          <w:rFonts w:ascii="Times New Roman" w:cs="Times New Roman" w:eastAsia="Times New Roman" w:hAnsi="Times New Roman"/>
          <w:strike w:val="1"/>
          <w:sz w:val="24"/>
          <w:szCs w:val="24"/>
          <w:rtl w:val="0"/>
        </w:rPr>
        <w:t xml:space="preserve">(1) Působnost stanovená tímto zákonem krajskému úřadu, obecnímu úřadu obce s rozšířenou působností a obecnímu úřadu je přenesenou působností.</w:t>
      </w:r>
    </w:p>
    <w:p w:rsidR="00000000" w:rsidDel="00000000" w:rsidP="00000000" w:rsidRDefault="00000000" w:rsidRPr="00000000" w14:paraId="00000056">
      <w:pPr>
        <w:widowControl w:val="0"/>
        <w:spacing w:after="120" w:before="120" w:line="276" w:lineRule="auto"/>
        <w:ind w:firstLine="567"/>
        <w:jc w:val="both"/>
        <w:rPr>
          <w:rFonts w:ascii="Times New Roman" w:cs="Times New Roman" w:eastAsia="Times New Roman" w:hAnsi="Times New Roman"/>
          <w:strike w:val="1"/>
          <w:sz w:val="24"/>
          <w:szCs w:val="24"/>
        </w:rPr>
      </w:pPr>
      <w:r w:rsidDel="00000000" w:rsidR="00000000" w:rsidRPr="00000000">
        <w:rPr>
          <w:rFonts w:ascii="Times New Roman" w:cs="Times New Roman" w:eastAsia="Times New Roman" w:hAnsi="Times New Roman"/>
          <w:strike w:val="1"/>
          <w:sz w:val="24"/>
          <w:szCs w:val="24"/>
          <w:rtl w:val="0"/>
        </w:rPr>
        <w:t xml:space="preserve">(2) V pochybnostech, který stavební úřad je příslušný ve věcech týkajících se záměru, určí příslušný stavební úřad nadřízený stavební úřad.</w:t>
      </w:r>
    </w:p>
    <w:p w:rsidR="00000000" w:rsidDel="00000000" w:rsidP="00000000" w:rsidRDefault="00000000" w:rsidRPr="00000000" w14:paraId="00000057">
      <w:pPr>
        <w:widowControl w:val="0"/>
        <w:spacing w:after="120" w:before="120" w:line="276" w:lineRule="auto"/>
        <w:ind w:firstLine="567"/>
        <w:jc w:val="both"/>
        <w:rPr>
          <w:rFonts w:ascii="Times New Roman" w:cs="Times New Roman" w:eastAsia="Times New Roman" w:hAnsi="Times New Roman"/>
          <w:strike w:val="1"/>
          <w:sz w:val="24"/>
          <w:szCs w:val="24"/>
        </w:rPr>
      </w:pPr>
      <w:r w:rsidDel="00000000" w:rsidR="00000000" w:rsidRPr="00000000">
        <w:rPr>
          <w:rFonts w:ascii="Times New Roman" w:cs="Times New Roman" w:eastAsia="Times New Roman" w:hAnsi="Times New Roman"/>
          <w:strike w:val="1"/>
          <w:sz w:val="24"/>
          <w:szCs w:val="24"/>
          <w:rtl w:val="0"/>
        </w:rPr>
        <w:t xml:space="preserve">(3) U souboru staveb se příslušnost stavebního úřadu k vydání povolení záměru řídí příslušností k povolení záměru stavby hlavní souboru staveb. Stavební úřad je příslušný k provedení všech úkonů, postupů a vydání rozhodnutí podle tohoto zákona pro všechny stavby souboru staveb.</w:t>
      </w:r>
    </w:p>
    <w:p w:rsidR="00000000" w:rsidDel="00000000" w:rsidP="00000000" w:rsidRDefault="00000000" w:rsidRPr="00000000" w14:paraId="00000058">
      <w:pPr>
        <w:widowControl w:val="0"/>
        <w:spacing w:after="0" w:before="120" w:line="276" w:lineRule="auto"/>
        <w:jc w:val="center"/>
        <w:rPr>
          <w:rFonts w:ascii="Times New Roman" w:cs="Times New Roman" w:eastAsia="Times New Roman" w:hAnsi="Times New Roman"/>
          <w:b w:val="1"/>
          <w:bCs w:val="1"/>
          <w:sz w:val="24"/>
          <w:szCs w:val="24"/>
        </w:rPr>
      </w:pPr>
      <w:bookmarkStart w:colFirst="0" w:colLast="0" w:name="_7i8uiith6fl1" w:id="1"/>
      <w:bookmarkEnd w:id="1"/>
      <w:r w:rsidDel="00000000" w:rsidR="00000000" w:rsidRPr="00000000">
        <w:rPr>
          <w:rFonts w:ascii="Times New Roman" w:cs="Times New Roman" w:eastAsia="Times New Roman" w:hAnsi="Times New Roman"/>
          <w:b w:val="1"/>
          <w:bCs w:val="1"/>
          <w:sz w:val="24"/>
          <w:szCs w:val="24"/>
          <w:rtl w:val="0"/>
        </w:rPr>
        <w:t xml:space="preserve">§ 37</w:t>
      </w:r>
    </w:p>
    <w:p w:rsidR="00000000" w:rsidDel="00000000" w:rsidP="00000000" w:rsidRDefault="00000000" w:rsidRPr="00000000" w14:paraId="00000059">
      <w:pPr>
        <w:widowControl w:val="0"/>
        <w:spacing w:after="0" w:before="12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Kvalifikační požadavky</w:t>
      </w:r>
    </w:p>
    <w:p w:rsidR="00000000" w:rsidDel="00000000" w:rsidP="00000000" w:rsidRDefault="00000000" w:rsidRPr="00000000" w14:paraId="0000005A">
      <w:pPr>
        <w:widowControl w:val="0"/>
        <w:spacing w:after="0" w:before="120" w:line="276" w:lineRule="auto"/>
        <w:ind w:firstLine="567"/>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Orgány územního plánování a stavební úřady vykonávají činnost prostřednictvím osob splňujících kvalifikační požadavky podle tohoto zákona nebo podle jiných zákonů.</w:t>
      </w:r>
    </w:p>
    <w:p w:rsidR="00000000" w:rsidDel="00000000" w:rsidP="00000000" w:rsidRDefault="00000000" w:rsidRPr="00000000" w14:paraId="0000005B">
      <w:pPr>
        <w:widowControl w:val="0"/>
        <w:spacing w:after="0" w:before="120" w:line="276" w:lineRule="auto"/>
        <w:ind w:firstLine="567"/>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Kvalifikační požadavky splňuje dále fyzická osoba, která má</w:t>
      </w:r>
    </w:p>
    <w:p w:rsidR="00000000" w:rsidDel="00000000" w:rsidP="00000000" w:rsidRDefault="00000000" w:rsidRPr="00000000" w14:paraId="0000005C">
      <w:pPr>
        <w:widowControl w:val="0"/>
        <w:spacing w:after="0" w:before="120"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osvědčení o zvláštní odborné způsobilosti pro úředníky územních samosprávných celků pro správní činnosti v územním plánování, stavebním řádu nebo vyvlastnění nebo osvědčení o úspěšném vykonání úřednické zkoušky pro obor specializace, jehož součástí je legislativa, právní činnost, stavebnictví, bydlení, regionální rozvoj, územní plánování nebo stavební řád, a</w:t>
      </w:r>
    </w:p>
    <w:p w:rsidR="00000000" w:rsidDel="00000000" w:rsidP="00000000" w:rsidRDefault="00000000" w:rsidRPr="00000000" w14:paraId="0000005D">
      <w:pPr>
        <w:widowControl w:val="0"/>
        <w:spacing w:after="0" w:before="120"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 vzdělání</w:t>
      </w:r>
    </w:p>
    <w:p w:rsidR="00000000" w:rsidDel="00000000" w:rsidP="00000000" w:rsidRDefault="00000000" w:rsidRPr="00000000" w14:paraId="0000005E">
      <w:pPr>
        <w:widowControl w:val="0"/>
        <w:spacing w:after="120" w:before="120" w:line="276" w:lineRule="auto"/>
        <w:jc w:val="both"/>
        <w:rPr>
          <w:rFonts w:ascii="Times New Roman" w:cs="Times New Roman" w:eastAsia="Times New Roman" w:hAnsi="Times New Roman"/>
          <w:b w:val="1"/>
          <w:bCs w:val="1"/>
          <w:sz w:val="24"/>
          <w:szCs w:val="24"/>
        </w:rPr>
      </w:pPr>
      <w:bookmarkStart w:colFirst="0" w:colLast="0" w:name="_wd58nq88b0fe" w:id="2"/>
      <w:bookmarkEnd w:id="2"/>
      <w:r w:rsidDel="00000000" w:rsidR="00000000" w:rsidRPr="00000000">
        <w:rPr>
          <w:rFonts w:ascii="Times New Roman" w:cs="Times New Roman" w:eastAsia="Times New Roman" w:hAnsi="Times New Roman"/>
          <w:b w:val="1"/>
          <w:bCs w:val="1"/>
          <w:sz w:val="24"/>
          <w:szCs w:val="24"/>
          <w:rtl w:val="0"/>
        </w:rPr>
        <w:t xml:space="preserve">1. vysokoškolské ve studijním programu náležejícím do oblasti architektura a urbanismus, biologie, ekologie a životní prostředí, doprava, ekonomické obory, energetika, lesnictví a dřevařství, právo, stavebnictví, vědy o zemi, strojírenství, technologie a materiály,</w:t>
      </w:r>
    </w:p>
    <w:p w:rsidR="00000000" w:rsidDel="00000000" w:rsidP="00000000" w:rsidRDefault="00000000" w:rsidRPr="00000000" w14:paraId="0000005F">
      <w:pPr>
        <w:widowControl w:val="0"/>
        <w:spacing w:after="120" w:before="120"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vyšší odborné nebo střední s maturitní zkouškou v oboru stavebnictví, geodézie a katastr nemovitostí, obecně právní činnost, veřejnosprávní činnost nebo doprava.</w:t>
      </w:r>
    </w:p>
    <w:p w:rsidR="00000000" w:rsidDel="00000000" w:rsidP="00000000" w:rsidRDefault="00000000" w:rsidRPr="00000000" w14:paraId="00000060">
      <w:pPr>
        <w:widowControl w:val="0"/>
        <w:spacing w:after="120" w:before="120" w:line="276" w:lineRule="auto"/>
        <w:ind w:firstLine="567"/>
        <w:jc w:val="both"/>
        <w:rPr>
          <w:rFonts w:ascii="Times New Roman" w:cs="Times New Roman" w:eastAsia="Times New Roman" w:hAnsi="Times New Roman"/>
          <w:b w:val="1"/>
          <w:bCs w:val="1"/>
          <w:color w:val="ee0000"/>
          <w:sz w:val="24"/>
          <w:szCs w:val="24"/>
        </w:rPr>
      </w:pPr>
      <w:r w:rsidDel="00000000" w:rsidR="00000000" w:rsidRPr="00000000">
        <w:rPr>
          <w:rFonts w:ascii="Times New Roman" w:cs="Times New Roman" w:eastAsia="Times New Roman" w:hAnsi="Times New Roman"/>
          <w:b w:val="1"/>
          <w:bCs w:val="1"/>
          <w:sz w:val="24"/>
          <w:szCs w:val="24"/>
          <w:rtl w:val="0"/>
        </w:rPr>
        <w:t xml:space="preserve">(3) Pokud při postupech podle tohoto zákona vykonává stavební úřad působnost podle jiných právních předpisů, podílejí se na této činnosti oprávněné úřední osoby, které splňují kvalifikační požadavky podle jiných právních předpisů a mají osvědčení o zvláštní odborné způsobilosti pro úředníky územních samosprávných celků pro příslušnou správní činnost nebo osvědčení o úspěšném vykonání úřednické zkoušky pro příslušný obor. </w:t>
      </w:r>
      <w:r w:rsidDel="00000000" w:rsidR="00000000" w:rsidRPr="00000000">
        <w:rPr>
          <w:rFonts w:ascii="Times New Roman" w:cs="Times New Roman" w:eastAsia="Times New Roman" w:hAnsi="Times New Roman"/>
          <w:b w:val="1"/>
          <w:bCs w:val="1"/>
          <w:color w:val="ee0000"/>
          <w:sz w:val="24"/>
          <w:szCs w:val="24"/>
          <w:rtl w:val="0"/>
        </w:rPr>
        <w:t xml:space="preserve">Tyto oprávněné úřední osoby posoudí, zda lze z hlediska požadavků jiných právních předpisů záměr povolit, případně za jakých podmínek Při tomto posouzení nejsou vázány příkazy představených, kteří nesplňují kvalifikační požadavky podle jiných právních předpisů a nemají osvědčení o zvláštní odborné způsobilosti pro úředníky územních samosprávných celků pro příslušnou správní činnost nebo osvědčení o úspěšném vykonání úřednické zkoušky pro příslušný obor.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color w:val="ee0000"/>
          <w:sz w:val="24"/>
          <w:szCs w:val="24"/>
          <w:rtl w:val="0"/>
        </w:rPr>
        <w:t xml:space="preserve">Výsledek posouzení se zaznamená do evidence stavebních postupů. </w:t>
      </w:r>
    </w:p>
    <w:p w:rsidR="00000000" w:rsidDel="00000000" w:rsidP="00000000" w:rsidRDefault="00000000" w:rsidRPr="00000000" w14:paraId="00000061">
      <w:pPr>
        <w:widowControl w:val="0"/>
        <w:spacing w:after="0" w:before="120" w:line="276" w:lineRule="auto"/>
        <w:ind w:firstLine="567"/>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 Osoba nesplňující kvalifikační požadavky může vykonávat činnost, pouze pokud je zajištěno, že bude do doby splnění požadavků vykonávat tuto činnost pod odborným vedením osoby splňující kvalifikační požadavky, nejvýše však po dobu 3 let.</w:t>
      </w:r>
    </w:p>
    <w:p w:rsidR="00000000" w:rsidDel="00000000" w:rsidP="00000000" w:rsidRDefault="00000000" w:rsidRPr="00000000" w14:paraId="00000062">
      <w:pPr>
        <w:spacing w:after="120" w:before="120"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widowControl w:val="0"/>
        <w:spacing w:after="0" w:before="12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272</w:t>
      </w:r>
    </w:p>
    <w:p w:rsidR="00000000" w:rsidDel="00000000" w:rsidP="00000000" w:rsidRDefault="00000000" w:rsidRPr="00000000" w14:paraId="00000064">
      <w:pPr>
        <w:widowControl w:val="0"/>
        <w:spacing w:after="0" w:before="12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Přístup do evidencí</w:t>
      </w:r>
    </w:p>
    <w:p w:rsidR="00000000" w:rsidDel="00000000" w:rsidP="00000000" w:rsidRDefault="00000000" w:rsidRPr="00000000" w14:paraId="00000065">
      <w:pPr>
        <w:widowControl w:val="0"/>
        <w:spacing w:after="0" w:before="120" w:line="276" w:lineRule="auto"/>
        <w:ind w:firstLine="56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Právo na přístup k údajům a elektronickým dokumentům v evidenci stavebních postupů a v evidenci elektronických dokumentací má ten, kdo má podle správního řádu právo nahlížet do spisu.</w:t>
      </w:r>
    </w:p>
    <w:p w:rsidR="00000000" w:rsidDel="00000000" w:rsidP="00000000" w:rsidRDefault="00000000" w:rsidRPr="00000000" w14:paraId="00000066">
      <w:pPr>
        <w:widowControl w:val="0"/>
        <w:spacing w:after="0" w:before="120" w:line="276" w:lineRule="auto"/>
        <w:ind w:firstLine="567"/>
        <w:jc w:val="both"/>
        <w:rPr>
          <w:rFonts w:ascii="Times New Roman" w:cs="Times New Roman" w:eastAsia="Times New Roman" w:hAnsi="Times New Roman"/>
          <w:sz w:val="24"/>
          <w:szCs w:val="24"/>
        </w:rPr>
      </w:pPr>
      <w:bookmarkStart w:colFirst="0" w:colLast="0" w:name="_wu7dc6kjiwmj" w:id="3"/>
      <w:bookmarkEnd w:id="3"/>
      <w:r w:rsidDel="00000000" w:rsidR="00000000" w:rsidRPr="00000000">
        <w:rPr>
          <w:rFonts w:ascii="Times New Roman" w:cs="Times New Roman" w:eastAsia="Times New Roman" w:hAnsi="Times New Roman"/>
          <w:sz w:val="24"/>
          <w:szCs w:val="24"/>
          <w:rtl w:val="0"/>
        </w:rPr>
        <w:t xml:space="preserve">(2) Právo na přístup k projektové dokumentaci </w:t>
      </w:r>
      <w:r w:rsidDel="00000000" w:rsidR="00000000" w:rsidRPr="00000000">
        <w:rPr>
          <w:rFonts w:ascii="Times New Roman" w:cs="Times New Roman" w:eastAsia="Times New Roman" w:hAnsi="Times New Roman"/>
          <w:b w:val="1"/>
          <w:bCs w:val="1"/>
          <w:sz w:val="24"/>
          <w:szCs w:val="24"/>
          <w:rtl w:val="0"/>
        </w:rPr>
        <w:t xml:space="preserve">a dokumentaci pro povolení záměru</w:t>
      </w:r>
      <w:r w:rsidDel="00000000" w:rsidR="00000000" w:rsidRPr="00000000">
        <w:rPr>
          <w:rFonts w:ascii="Times New Roman" w:cs="Times New Roman" w:eastAsia="Times New Roman" w:hAnsi="Times New Roman"/>
          <w:sz w:val="24"/>
          <w:szCs w:val="24"/>
          <w:rtl w:val="0"/>
        </w:rPr>
        <w:t xml:space="preserve"> má dále ten, kdo se k ní má vyjádřit podle tohoto zákona nebo jiného právního předpisu, a projektant</w:t>
      </w:r>
      <w:r w:rsidDel="00000000" w:rsidR="00000000" w:rsidRPr="00000000">
        <w:rPr>
          <w:rFonts w:ascii="Times New Roman" w:cs="Times New Roman" w:eastAsia="Times New Roman" w:hAnsi="Times New Roman"/>
          <w:b w:val="1"/>
          <w:bCs w:val="1"/>
          <w:sz w:val="24"/>
          <w:szCs w:val="24"/>
          <w:rtl w:val="0"/>
        </w:rPr>
        <w:t xml:space="preserve">; jiné osoby jen se souhlasem stavebníka nebo vlastníka stavby, které se tato dokumentace týká</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7">
      <w:pPr>
        <w:widowControl w:val="0"/>
        <w:spacing w:after="0" w:before="120" w:line="276" w:lineRule="auto"/>
        <w:ind w:firstLine="567"/>
        <w:jc w:val="both"/>
        <w:rPr>
          <w:rFonts w:ascii="Times New Roman" w:cs="Times New Roman" w:eastAsia="Times New Roman" w:hAnsi="Times New Roman"/>
          <w:sz w:val="24"/>
          <w:szCs w:val="24"/>
        </w:rPr>
      </w:pPr>
      <w:bookmarkStart w:colFirst="0" w:colLast="0" w:name="_58hpb37ogc00" w:id="4"/>
      <w:bookmarkEnd w:id="4"/>
      <w:r w:rsidDel="00000000" w:rsidR="00000000" w:rsidRPr="00000000">
        <w:rPr>
          <w:rFonts w:ascii="Times New Roman" w:cs="Times New Roman" w:eastAsia="Times New Roman" w:hAnsi="Times New Roman"/>
          <w:sz w:val="24"/>
          <w:szCs w:val="24"/>
          <w:rtl w:val="0"/>
        </w:rPr>
        <w:t xml:space="preserve">(3) Právo na přístup k projektové dokumentaci </w:t>
      </w:r>
      <w:r w:rsidDel="00000000" w:rsidR="00000000" w:rsidRPr="00000000">
        <w:rPr>
          <w:rFonts w:ascii="Times New Roman" w:cs="Times New Roman" w:eastAsia="Times New Roman" w:hAnsi="Times New Roman"/>
          <w:b w:val="1"/>
          <w:bCs w:val="1"/>
          <w:sz w:val="24"/>
          <w:szCs w:val="24"/>
          <w:rtl w:val="0"/>
        </w:rPr>
        <w:t xml:space="preserve">a dokumentaci pro povolení záměru</w:t>
      </w:r>
      <w:r w:rsidDel="00000000" w:rsidR="00000000" w:rsidRPr="00000000">
        <w:rPr>
          <w:rFonts w:ascii="Times New Roman" w:cs="Times New Roman" w:eastAsia="Times New Roman" w:hAnsi="Times New Roman"/>
          <w:sz w:val="24"/>
          <w:szCs w:val="24"/>
          <w:rtl w:val="0"/>
        </w:rPr>
        <w:t xml:space="preserve"> ve strojově čitelném formátu má ten, kdo předloží souhlas stavebníka nebo vlastníka stavby, které se tato dokumentace týká.</w:t>
      </w:r>
    </w:p>
    <w:p w:rsidR="00000000" w:rsidDel="00000000" w:rsidP="00000000" w:rsidRDefault="00000000" w:rsidRPr="00000000" w14:paraId="00000068">
      <w:pPr>
        <w:widowControl w:val="0"/>
        <w:spacing w:after="0" w:before="120" w:line="276" w:lineRule="auto"/>
        <w:ind w:firstLine="56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Právo na přístup k vyjádření vlastníka veřejné dopravní nebo technické infrastruktury v evidenci stavebních postupů má rovněž ten, kdo prostřednictvím portálu stavebníka o vyjádření požádal.</w:t>
      </w:r>
    </w:p>
    <w:p w:rsidR="00000000" w:rsidDel="00000000" w:rsidP="00000000" w:rsidRDefault="00000000" w:rsidRPr="00000000" w14:paraId="00000069">
      <w:pPr>
        <w:widowControl w:val="0"/>
        <w:spacing w:after="0" w:before="120" w:line="276" w:lineRule="auto"/>
        <w:ind w:firstLine="56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Osoba oprávněná k přístupu do evidencí má právo na dálkový přístup, včetně strojového vyhledávání informací, a pořizování výpisů a kopií.</w:t>
      </w:r>
    </w:p>
    <w:p w:rsidR="00000000" w:rsidDel="00000000" w:rsidP="00000000" w:rsidRDefault="00000000" w:rsidRPr="00000000" w14:paraId="0000006A">
      <w:pPr>
        <w:widowControl w:val="0"/>
        <w:spacing w:after="0" w:before="120" w:line="276" w:lineRule="auto"/>
        <w:ind w:firstLine="567"/>
        <w:jc w:val="both"/>
        <w:rPr>
          <w:rFonts w:ascii="Times New Roman" w:cs="Times New Roman" w:eastAsia="Times New Roman" w:hAnsi="Times New Roman"/>
          <w:b w:val="1"/>
          <w:bCs w:val="1"/>
          <w:color w:val="ee0000"/>
          <w:sz w:val="24"/>
          <w:szCs w:val="24"/>
        </w:rPr>
      </w:pPr>
      <w:r w:rsidDel="00000000" w:rsidR="00000000" w:rsidRPr="00000000">
        <w:rPr>
          <w:rFonts w:ascii="Times New Roman" w:cs="Times New Roman" w:eastAsia="Times New Roman" w:hAnsi="Times New Roman"/>
          <w:b w:val="1"/>
          <w:bCs w:val="1"/>
          <w:color w:val="ee0000"/>
          <w:sz w:val="24"/>
          <w:szCs w:val="24"/>
          <w:rtl w:val="0"/>
        </w:rPr>
        <w:t xml:space="preserve">(6)   Každý má právo na přístup k rozvrhu práce Úřadu v evidenci stavebních postupů.</w:t>
      </w:r>
    </w:p>
    <w:sectPr>
      <w:pgSz w:h="16838" w:w="11906" w:orient="portrait"/>
      <w:pgMar w:bottom="1417" w:top="1417" w:left="1417" w:right="141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c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e75b5"/>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e75b5"/>
      <w:sz w:val="32"/>
      <w:szCs w:val="32"/>
    </w:rPr>
  </w:style>
  <w:style w:type="paragraph" w:styleId="Heading3">
    <w:name w:val="heading 3"/>
    <w:basedOn w:val="Normal"/>
    <w:next w:val="Normal"/>
    <w:pPr>
      <w:keepNext w:val="1"/>
      <w:keepLines w:val="1"/>
      <w:spacing w:after="80" w:before="160" w:lineRule="auto"/>
    </w:pPr>
    <w:rPr>
      <w:color w:val="2e75b5"/>
      <w:sz w:val="28"/>
      <w:szCs w:val="28"/>
    </w:rPr>
  </w:style>
  <w:style w:type="paragraph" w:styleId="Heading4">
    <w:name w:val="heading 4"/>
    <w:basedOn w:val="Normal"/>
    <w:next w:val="Normal"/>
    <w:pPr>
      <w:keepNext w:val="1"/>
      <w:keepLines w:val="1"/>
      <w:spacing w:after="40" w:before="80" w:lineRule="auto"/>
    </w:pPr>
    <w:rPr>
      <w:i w:val="1"/>
      <w:iCs w:val="1"/>
      <w:color w:val="2e75b5"/>
    </w:rPr>
  </w:style>
  <w:style w:type="paragraph" w:styleId="Heading5">
    <w:name w:val="heading 5"/>
    <w:basedOn w:val="Normal"/>
    <w:next w:val="Normal"/>
    <w:pPr>
      <w:keepNext w:val="1"/>
      <w:keepLines w:val="1"/>
      <w:spacing w:after="40" w:before="80" w:lineRule="auto"/>
    </w:pPr>
    <w:rPr>
      <w:color w:val="2e75b5"/>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