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5051CD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5051CD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5051CD">
      <w:pPr>
        <w:pStyle w:val="Podnadpis"/>
        <w:pBdr>
          <w:bottom w:val="nil"/>
        </w:pBdr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38ED63" w14:textId="77777777" w:rsidR="002F3503" w:rsidRDefault="002F3503" w:rsidP="009738CA">
      <w:pPr>
        <w:keepNext/>
        <w:keepLines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5FB0F18C" w:rsidR="002F3503" w:rsidRDefault="00A25687" w:rsidP="009738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Karla Haase, 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Martina Kupky a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AB580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E1B7E2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81E6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54592979" w:rsidR="00865D0A" w:rsidRPr="00865D0A" w:rsidRDefault="001C7743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0851393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CE7A5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D323F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D5BED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9C600D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D9B1B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E0F96A" w14:textId="1ED56908" w:rsidR="002F3503" w:rsidRDefault="002F3503" w:rsidP="00865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Haase, Martina Kupky a 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zákona, kterým se mění zákon č. 283/2021 Sb., stavební zákon, ve znění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pozdějších předpisů, a některé další související zákony,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C1DC9C8" w14:textId="77777777" w:rsidR="009738CA" w:rsidRDefault="009738CA" w:rsidP="0060156B">
      <w:pPr>
        <w:spacing w:after="0" w:line="264" w:lineRule="auto"/>
        <w:jc w:val="both"/>
        <w:rPr>
          <w:rFonts w:ascii="Times New Roman" w:hAnsi="Times New Roman"/>
        </w:rPr>
      </w:pPr>
    </w:p>
    <w:p w14:paraId="2E07AEE6" w14:textId="478F541C" w:rsidR="0060156B" w:rsidRPr="00560430" w:rsidRDefault="00560430" w:rsidP="00E10F5C">
      <w:pPr>
        <w:pStyle w:val="Odstavecseseznamem"/>
        <w:numPr>
          <w:ilvl w:val="0"/>
          <w:numId w:val="7"/>
        </w:numPr>
        <w:spacing w:after="0" w:line="264" w:lineRule="auto"/>
        <w:jc w:val="both"/>
        <w:rPr>
          <w:rFonts w:ascii="Times New Roman" w:hAnsi="Times New Roman"/>
        </w:rPr>
      </w:pP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 xml:space="preserve">V části první čl. I. dosavadní bod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432</w:t>
      </w:r>
      <w:r w:rsidRPr="00DD11E3">
        <w:rPr>
          <w:rFonts w:ascii="Times New Roman" w:eastAsia="Times New Roman" w:hAnsi="Times New Roman" w:cs="Times New Roman"/>
          <w:bCs/>
          <w:sz w:val="24"/>
          <w:szCs w:val="24"/>
        </w:rPr>
        <w:t xml:space="preserve"> zní:</w:t>
      </w:r>
    </w:p>
    <w:p w14:paraId="26EF399B" w14:textId="77777777" w:rsidR="00560430" w:rsidRDefault="00560430" w:rsidP="00E10F5C">
      <w:pPr>
        <w:spacing w:after="0" w:line="264" w:lineRule="auto"/>
        <w:jc w:val="both"/>
        <w:rPr>
          <w:rFonts w:ascii="Times New Roman" w:hAnsi="Times New Roman"/>
        </w:rPr>
      </w:pPr>
    </w:p>
    <w:p w14:paraId="22BFDFBF" w14:textId="4B80E8CD" w:rsidR="00560430" w:rsidRDefault="00560430" w:rsidP="00E10F5C">
      <w:pPr>
        <w:pStyle w:val="paragraph"/>
        <w:spacing w:before="0" w:beforeAutospacing="0" w:after="0" w:afterAutospacing="0" w:line="264" w:lineRule="auto"/>
        <w:jc w:val="both"/>
        <w:textAlignment w:val="baseline"/>
        <w:rPr>
          <w:rStyle w:val="eop"/>
        </w:rPr>
      </w:pPr>
      <w:r>
        <w:rPr>
          <w:rStyle w:val="normaltextrun"/>
        </w:rPr>
        <w:t>„432. V § 193 se za odstavec 1 vkládá nový odstavec 2, který zní:</w:t>
      </w:r>
      <w:r>
        <w:rPr>
          <w:rStyle w:val="eop"/>
        </w:rPr>
        <w:t> </w:t>
      </w:r>
    </w:p>
    <w:p w14:paraId="2E058A41" w14:textId="77777777" w:rsidR="00560430" w:rsidRDefault="00560430" w:rsidP="00E10F5C">
      <w:pPr>
        <w:pStyle w:val="paragraph"/>
        <w:spacing w:before="0" w:beforeAutospacing="0" w:after="0" w:afterAutospacing="0" w:line="264" w:lineRule="auto"/>
        <w:jc w:val="both"/>
        <w:textAlignment w:val="baseline"/>
      </w:pPr>
    </w:p>
    <w:p w14:paraId="39558826" w14:textId="77777777" w:rsidR="00560430" w:rsidRDefault="00560430" w:rsidP="00E10F5C">
      <w:pPr>
        <w:pStyle w:val="paragraph"/>
        <w:spacing w:before="0" w:beforeAutospacing="0" w:after="0" w:afterAutospacing="0" w:line="264" w:lineRule="auto"/>
        <w:ind w:firstLine="555"/>
        <w:jc w:val="both"/>
        <w:textAlignment w:val="baseline"/>
        <w:rPr>
          <w:rStyle w:val="normaltextrun"/>
        </w:rPr>
      </w:pPr>
      <w:r>
        <w:rPr>
          <w:rStyle w:val="normaltextrun"/>
        </w:rPr>
        <w:t xml:space="preserve">„(2) Se souhlasem toho, kdo územně plánovací dokumentaci, územní opatření nebo vymezení zastavitelného území vydal, a se souhlasem vlastníka pozemku, pokud by se jinak vyžadoval podle § 187, se záměr může odchýlit od územně plánovací dokumentace, územního opatření nebo vymezení zastavitelného území, pokud nenaruší veřejné zájmy a nedotkne se jiných osob, ochranných pásem nebo koridorů. Pro ochranná pásma platí možnost odchýlení se od jejich vymezení se souhlasem toho, v jehož zájmu jsou vymezena, přiměřeně. </w:t>
      </w:r>
      <w:r w:rsidRPr="00560430">
        <w:rPr>
          <w:rStyle w:val="normaltextrun"/>
        </w:rPr>
        <w:t>Záměr stavby pro bydlení umisťovaný v ploše se způsobem využití výroba a skladování nebo obdobným stanoveným v územně plánovací dokumentaci, nenarušuje veřejné zájmy.“.</w:t>
      </w:r>
    </w:p>
    <w:p w14:paraId="536CEE9A" w14:textId="77777777" w:rsidR="00560430" w:rsidRDefault="00560430" w:rsidP="00E10F5C">
      <w:pPr>
        <w:pStyle w:val="paragraph"/>
        <w:spacing w:before="0" w:beforeAutospacing="0" w:after="0" w:afterAutospacing="0" w:line="264" w:lineRule="auto"/>
        <w:ind w:firstLine="555"/>
        <w:jc w:val="both"/>
        <w:textAlignment w:val="baseline"/>
        <w:rPr>
          <w:rStyle w:val="normaltextrun"/>
        </w:rPr>
      </w:pPr>
    </w:p>
    <w:p w14:paraId="35F77722" w14:textId="3F88A00A" w:rsidR="00560430" w:rsidRDefault="00560430" w:rsidP="00E10F5C">
      <w:pPr>
        <w:pStyle w:val="paragraph"/>
        <w:spacing w:before="0" w:beforeAutospacing="0" w:after="0" w:afterAutospacing="0" w:line="264" w:lineRule="auto"/>
        <w:ind w:firstLine="555"/>
        <w:jc w:val="both"/>
        <w:textAlignment w:val="baseline"/>
        <w:rPr>
          <w:rStyle w:val="eop"/>
        </w:rPr>
      </w:pPr>
      <w:r w:rsidRPr="00560430">
        <w:t>Dosavadní odstavec 2 se označuje jako odstavec 3.</w:t>
      </w:r>
      <w:r>
        <w:t>“.</w:t>
      </w:r>
      <w:r>
        <w:rPr>
          <w:rStyle w:val="eop"/>
        </w:rPr>
        <w:t> </w:t>
      </w:r>
    </w:p>
    <w:p w14:paraId="4CD22F50" w14:textId="77777777" w:rsidR="00B94B31" w:rsidRDefault="00B94B31" w:rsidP="00E10F5C">
      <w:pPr>
        <w:pStyle w:val="paragraph"/>
        <w:spacing w:before="0" w:beforeAutospacing="0" w:after="0" w:afterAutospacing="0" w:line="264" w:lineRule="auto"/>
        <w:jc w:val="both"/>
        <w:textAlignment w:val="baseline"/>
        <w:rPr>
          <w:rStyle w:val="eop"/>
        </w:rPr>
      </w:pPr>
    </w:p>
    <w:p w14:paraId="301AE6F5" w14:textId="77777777" w:rsidR="00B94B31" w:rsidRDefault="00B94B31" w:rsidP="00E10F5C">
      <w:pPr>
        <w:pStyle w:val="paragraph"/>
        <w:spacing w:before="0" w:beforeAutospacing="0" w:after="0" w:afterAutospacing="0" w:line="264" w:lineRule="auto"/>
        <w:jc w:val="both"/>
        <w:textAlignment w:val="baseline"/>
        <w:rPr>
          <w:rStyle w:val="eop"/>
        </w:rPr>
      </w:pPr>
    </w:p>
    <w:p w14:paraId="0E1FC853" w14:textId="3375DD9B" w:rsidR="00B94B31" w:rsidRDefault="00B94B31" w:rsidP="00E10F5C">
      <w:pPr>
        <w:pStyle w:val="paragraph"/>
        <w:spacing w:before="0" w:beforeAutospacing="0" w:after="0" w:afterAutospacing="0" w:line="264" w:lineRule="auto"/>
        <w:jc w:val="center"/>
        <w:textAlignment w:val="baseline"/>
        <w:rPr>
          <w:rStyle w:val="eop"/>
        </w:rPr>
      </w:pPr>
      <w:r>
        <w:rPr>
          <w:rFonts w:eastAsia="Times New Roman"/>
          <w:b/>
        </w:rPr>
        <w:t>Odůvodnění pozměňovacího návrhu</w:t>
      </w:r>
    </w:p>
    <w:p w14:paraId="66C729FA" w14:textId="77777777" w:rsidR="00560430" w:rsidRDefault="00560430" w:rsidP="00E10F5C">
      <w:pPr>
        <w:spacing w:after="0" w:line="264" w:lineRule="auto"/>
        <w:jc w:val="both"/>
        <w:rPr>
          <w:rFonts w:ascii="Times New Roman" w:hAnsi="Times New Roman"/>
        </w:rPr>
      </w:pPr>
    </w:p>
    <w:p w14:paraId="53695A93" w14:textId="05EFF4A6" w:rsidR="002F3F8D" w:rsidRDefault="002F3F8D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Ú</w:t>
      </w:r>
      <w:r w:rsidRPr="002F3F8D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prava</w:t>
      </w: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 n</w:t>
      </w:r>
      <w:r w:rsidRPr="002F3F8D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avrhovaná</w:t>
      </w: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 tímto pozměňovacím návrhem navazuje na úpravu navrhovanou již komplexním pozměňovacím návrhem ke sněmovnímu tisku č. 67, tedy na potřebu </w:t>
      </w:r>
      <w:r w:rsidRPr="002F3F8D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zrychlit a zpružnit povolování stavebních záměrů v případech, kdy je záměr věcně přijatelný, nezasahuje do práv třetích osob ani do chráněných veřejných zájmů, avšak naráží na formální nesoulad s dosavadní územně plánovací dokumentací, územním opatřením nebo vymezením zastavitelného území. Cílem </w:t>
      </w: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komplexního pozměňovacího </w:t>
      </w:r>
      <w:r w:rsidRPr="002F3F8D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návrhu je umožnit přiměřenou a kontrolovanou odchylku od územně plánovací regulace tam, kde s ní souhlasí orgán, který příslušnou regulaci vydal, a kde současně nejsou dotčeny jiné osoby, ochranná pásma ani koridory.</w:t>
      </w:r>
    </w:p>
    <w:p w14:paraId="5788ED75" w14:textId="77777777" w:rsidR="009950FB" w:rsidRDefault="009950FB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721CDCE9" w14:textId="77777777" w:rsidR="00574A21" w:rsidRDefault="002F3F8D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Předkladatelé tohoto pozměňovacího návrhu ke komplexnímu pozměňovacímu návrhu cílí na velmi konkrétní a praktické řešení dvou velmi zásadních aktuálních problémů České republiky</w:t>
      </w:r>
      <w:r w:rsidR="00574A21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:</w:t>
      </w:r>
    </w:p>
    <w:p w14:paraId="774EC4CA" w14:textId="77777777" w:rsidR="00574A21" w:rsidRDefault="00574A21" w:rsidP="00E10F5C">
      <w:pPr>
        <w:pStyle w:val="Odstavecseseznamem"/>
        <w:numPr>
          <w:ilvl w:val="0"/>
          <w:numId w:val="9"/>
        </w:num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za prvé na řešení nedostupnosti bydlení a</w:t>
      </w:r>
    </w:p>
    <w:p w14:paraId="3DD1391F" w14:textId="4E355012" w:rsidR="00574A21" w:rsidRDefault="00574A21" w:rsidP="00E10F5C">
      <w:pPr>
        <w:pStyle w:val="Odstavecseseznamem"/>
        <w:numPr>
          <w:ilvl w:val="0"/>
          <w:numId w:val="9"/>
        </w:num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za druhé na řešení časově i procesně mnohem rychlejšího a jednoduššího využití tzv. </w:t>
      </w:r>
      <w:r w:rsidRPr="00574A21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brownfieldů</w:t>
      </w: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 právě pro stavby pro bydlení. </w:t>
      </w:r>
    </w:p>
    <w:p w14:paraId="16541736" w14:textId="77777777" w:rsidR="009950FB" w:rsidRPr="009950FB" w:rsidRDefault="009950FB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641E5058" w14:textId="77777777" w:rsidR="00574A21" w:rsidRDefault="002F3F8D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 w:rsidRPr="00574A21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Zvláštní pravidlo pro stavby pro bydlení umisťované v plochách se způsobem využití výroba a skladování nebo obdobným způsobem využití sleduje zejména efektivnější využívání již urbanizovaných území, včetně brownfieldů, transformačních ploch a nevyužívaných či nedostatečně využívaných výrobních areálů. V řadě obcí a měst existují plochy, které již fakticky neplní původní výrobní nebo skladovací funkci, avšak jejich formální zařazení v územním plánu brání rychlejší přípravě bytové výstavby. Navržená úprava proto podporuje </w:t>
      </w:r>
      <w:r w:rsidRPr="00574A21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lastRenderedPageBreak/>
        <w:t xml:space="preserve">vznik bydlení v územích, která jsou zpravidla již napojena na dopravní a technickou infrastrukturu, a </w:t>
      </w:r>
      <w:bookmarkStart w:id="3" w:name="_Hlk230742527"/>
      <w:r w:rsidRPr="00574A21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omezuje tlak na zastavování volné krajiny</w:t>
      </w:r>
      <w:bookmarkEnd w:id="3"/>
      <w:r w:rsidRPr="00574A21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.</w:t>
      </w:r>
    </w:p>
    <w:p w14:paraId="0F9BD9C8" w14:textId="77777777" w:rsidR="009950FB" w:rsidRDefault="009950FB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7CA3D570" w14:textId="35089C96" w:rsidR="00574A21" w:rsidRDefault="002F3F8D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 w:rsidRPr="002F3F8D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Pozměňovací návrh tak představuje cílený nástroj pro odblokování věcně odůvodněných záměrů, zejména v oblasti bydlení, aniž by rezignoval na ochranu veřejných zájmů, práv dotčených osob nebo roli územního plánování. Návrh přispívá ke zrychlení povolovacích procesů, k lepšímu využití zastavěného území a k podpoře dostupnosti bydlení, přičemž ponechává rozhodující korektiv v rukou příslušného orgánu, který územně plánovací regulaci vydal.</w:t>
      </w:r>
    </w:p>
    <w:p w14:paraId="3F9D2888" w14:textId="77777777" w:rsidR="002F3F8D" w:rsidRDefault="002F3F8D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40324FEE" w14:textId="77777777" w:rsidR="002F3F8D" w:rsidRPr="002F3F8D" w:rsidRDefault="002F3F8D" w:rsidP="00E10F5C">
      <w:pPr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1F86B9C9" w14:textId="77777777" w:rsidR="000C7CBD" w:rsidRDefault="000C7CBD" w:rsidP="00E10F5C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230729026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Dotčená ustanovení ve znění komplexního pozměňovacího návrhu s vyznačením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</w:p>
    <w:bookmarkEnd w:id="4"/>
    <w:p w14:paraId="0E92210D" w14:textId="77777777" w:rsidR="000C7CBD" w:rsidRPr="00DD11E3" w:rsidRDefault="000C7CBD" w:rsidP="00E10F5C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0A98B6" w14:textId="77777777" w:rsidR="000C7CBD" w:rsidRPr="00DD11E3" w:rsidRDefault="000C7CBD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tučně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změny obsažené v tomto PN (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 xml:space="preserve">tučně a </w:t>
      </w:r>
      <w:proofErr w:type="spellStart"/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>, pokud je text zaváděný komplexním PN tímto PN rušen či nahrazován)</w:t>
      </w:r>
      <w:bookmarkEnd w:id="5"/>
    </w:p>
    <w:p w14:paraId="0C913F4F" w14:textId="77777777" w:rsidR="000C7CBD" w:rsidRPr="00DD11E3" w:rsidRDefault="000C7CBD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66E39" w14:textId="77777777" w:rsidR="000C7CBD" w:rsidRPr="00DD11E3" w:rsidRDefault="000C7CBD" w:rsidP="00E10F5C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Zákon č. 283/2021 Sb., </w:t>
      </w:r>
    </w:p>
    <w:p w14:paraId="322F6736" w14:textId="77777777" w:rsidR="000C7CBD" w:rsidRPr="00DD11E3" w:rsidRDefault="000C7CBD" w:rsidP="00E10F5C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  <w:r w:rsidRPr="00DD11E3" w:rsidDel="009E74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9748AC" w14:textId="77777777" w:rsidR="000C7CBD" w:rsidRPr="00DD11E3" w:rsidRDefault="000C7CBD" w:rsidP="00E10F5C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" w:name="_Hlk230729068"/>
      <w:bookmarkEnd w:id="6"/>
      <w:r w:rsidRPr="00DD11E3">
        <w:rPr>
          <w:rFonts w:ascii="Times New Roman" w:hAnsi="Times New Roman" w:cs="Times New Roman"/>
          <w:sz w:val="24"/>
          <w:szCs w:val="24"/>
        </w:rPr>
        <w:t>…</w:t>
      </w:r>
    </w:p>
    <w:bookmarkEnd w:id="7"/>
    <w:p w14:paraId="3DA1025E" w14:textId="77777777" w:rsidR="00560430" w:rsidRPr="000C7CBD" w:rsidRDefault="00560430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E8F9DA" w14:textId="261AEA97" w:rsidR="000C7CBD" w:rsidRPr="000C7CBD" w:rsidRDefault="000C7CBD" w:rsidP="00E10F5C">
      <w:pPr>
        <w:pStyle w:val="Default"/>
        <w:spacing w:line="264" w:lineRule="auto"/>
        <w:jc w:val="center"/>
      </w:pPr>
      <w:r w:rsidRPr="000C7CBD">
        <w:t>§ 193</w:t>
      </w:r>
    </w:p>
    <w:p w14:paraId="1FC6025B" w14:textId="71A65E45" w:rsidR="000C7CBD" w:rsidRPr="000C7CBD" w:rsidRDefault="000C7CBD" w:rsidP="00E10F5C">
      <w:pPr>
        <w:pStyle w:val="Default"/>
        <w:spacing w:line="264" w:lineRule="auto"/>
        <w:jc w:val="center"/>
      </w:pPr>
      <w:r w:rsidRPr="000C7CBD">
        <w:rPr>
          <w:b/>
          <w:bCs/>
        </w:rPr>
        <w:t>Posuzování záměru</w:t>
      </w:r>
    </w:p>
    <w:p w14:paraId="0A550E97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 xml:space="preserve">(1) Stavební úřad posuzuje, zda je záměr v souladu s </w:t>
      </w:r>
    </w:p>
    <w:p w14:paraId="7C1D6CCD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 xml:space="preserve">a) územně plánovací dokumentací, územními opatřeními a vymezením zastavěného </w:t>
      </w:r>
      <w:r w:rsidRPr="000C7CBD">
        <w:rPr>
          <w:b/>
          <w:bCs/>
        </w:rPr>
        <w:t xml:space="preserve">zastavitelného </w:t>
      </w:r>
      <w:r w:rsidRPr="000C7CBD">
        <w:t xml:space="preserve">území, </w:t>
      </w:r>
    </w:p>
    <w:p w14:paraId="0FE3EC49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 xml:space="preserve">b) cíli a úkoly územního plánování, zejména s charakterem území a s požadavky na ochranu kulturně historických, architektonických a urbanistických hodnot v území, nemá-li obec vydán </w:t>
      </w:r>
      <w:r w:rsidRPr="000C7CBD">
        <w:rPr>
          <w:b/>
          <w:bCs/>
        </w:rPr>
        <w:t xml:space="preserve">pro dané území </w:t>
      </w:r>
      <w:r w:rsidRPr="000C7CBD">
        <w:t xml:space="preserve">územní plán </w:t>
      </w:r>
      <w:r w:rsidRPr="000C7CBD">
        <w:rPr>
          <w:b/>
          <w:bCs/>
        </w:rPr>
        <w:t>nebo regulační plán</w:t>
      </w:r>
      <w:r w:rsidRPr="000C7CBD">
        <w:t xml:space="preserve">, </w:t>
      </w:r>
    </w:p>
    <w:p w14:paraId="35EC7114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>c) požadavky tohoto zákona a jeho prováděcích právních předpisů</w:t>
      </w:r>
      <w:r w:rsidRPr="000C7CBD">
        <w:rPr>
          <w:b/>
          <w:bCs/>
        </w:rPr>
        <w:t>, s výjimkou technických požadavků na stavby, za jejichž splnění v dokumentaci pro povolení záměru odpovídá projektant nebo osoba uvedená v § 156 odst. 2</w:t>
      </w:r>
      <w:r w:rsidRPr="000C7CBD">
        <w:t xml:space="preserve">, </w:t>
      </w:r>
    </w:p>
    <w:p w14:paraId="4ABAEDD2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 xml:space="preserve">d) požadavky jiných právních předpisů chránících dotčené veřejné zájmy, </w:t>
      </w:r>
    </w:p>
    <w:p w14:paraId="00427E2A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 xml:space="preserve">e) požadavky na veřejnou dopravní nebo technickou infrastrukturu, </w:t>
      </w:r>
    </w:p>
    <w:p w14:paraId="11EEC1D1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 xml:space="preserve">f) ochranou práv a právem chráněných zájmů účastníků řízení, </w:t>
      </w:r>
    </w:p>
    <w:p w14:paraId="0F8E1704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t xml:space="preserve">které hodnotí a poměřuje ve vzájemných souvislostech </w:t>
      </w:r>
      <w:r w:rsidRPr="000C7CBD">
        <w:rPr>
          <w:b/>
          <w:bCs/>
        </w:rPr>
        <w:t>podle zásad uvedených v § 1a</w:t>
      </w:r>
      <w:r w:rsidRPr="000C7CBD">
        <w:t xml:space="preserve">. </w:t>
      </w:r>
    </w:p>
    <w:p w14:paraId="5915BD1D" w14:textId="6603427F" w:rsidR="000C7CBD" w:rsidRPr="000C7CBD" w:rsidRDefault="000C7CBD" w:rsidP="00E10F5C">
      <w:pPr>
        <w:pStyle w:val="Default"/>
        <w:spacing w:line="264" w:lineRule="auto"/>
        <w:jc w:val="both"/>
        <w:rPr>
          <w:color w:val="0070C0"/>
        </w:rPr>
      </w:pPr>
      <w:r w:rsidRPr="000C7CBD">
        <w:rPr>
          <w:b/>
          <w:bCs/>
        </w:rPr>
        <w:t xml:space="preserve">(2) Se souhlasem toho, kdo územně plánovací dokumentaci, územní opatření nebo vymezení zastavitelného území vydal, a se souhlasem vlastníka pozemku, pokud by se jinak vyžadoval podle § 187, se záměr může odchýlit od územně plánovací dokumentace, územního opatření nebo vymezení zastavitelného území, pokud nenaruší veřejné zájmy a nedotkne se jiných osob, ochranných pásem nebo koridorů. Pro ochranná pásma platí možnost odchýlení se od jejich vymezení se souhlasem toho, v jehož zájmu jsou vymezena, přiměřeně. </w:t>
      </w:r>
      <w:r w:rsidRPr="000C7CBD">
        <w:rPr>
          <w:rStyle w:val="normaltextrun"/>
          <w:b/>
          <w:bCs/>
          <w:color w:val="0070C0"/>
        </w:rPr>
        <w:t>Záměr stavby pro bydlení umisťovaný v ploše se způsobem využití výroba a skladování nebo obdobným stanoveným v územně plánovací dokumentaci, nenarušuje veřejné zájmy</w:t>
      </w:r>
      <w:r>
        <w:rPr>
          <w:rStyle w:val="normaltextrun"/>
          <w:b/>
          <w:bCs/>
          <w:color w:val="0070C0"/>
        </w:rPr>
        <w:t>.</w:t>
      </w:r>
    </w:p>
    <w:p w14:paraId="3204EA91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rPr>
          <w:strike/>
        </w:rPr>
        <w:lastRenderedPageBreak/>
        <w:t>(2)</w:t>
      </w:r>
      <w:r w:rsidRPr="000C7CBD">
        <w:t xml:space="preserve"> </w:t>
      </w:r>
      <w:r w:rsidRPr="000C7CBD">
        <w:rPr>
          <w:b/>
          <w:bCs/>
        </w:rPr>
        <w:t xml:space="preserve">(3) </w:t>
      </w:r>
      <w:r w:rsidRPr="000C7CBD">
        <w:t>Při posuzování souladu záměru s požadavky jiných právních předpisů</w:t>
      </w:r>
      <w:r w:rsidRPr="000C7CBD">
        <w:rPr>
          <w:b/>
          <w:bCs/>
        </w:rPr>
        <w:t xml:space="preserve">, které není oprávněn posoudit sám, </w:t>
      </w:r>
      <w:r w:rsidRPr="000C7CBD">
        <w:t xml:space="preserve">vychází stavební úřad z vyjádření nebo závazného stanoviska dotčeného orgánu nebo z výsledků řešení rozporů. </w:t>
      </w:r>
      <w:r w:rsidRPr="000C7CBD">
        <w:rPr>
          <w:b/>
          <w:bCs/>
        </w:rPr>
        <w:t xml:space="preserve">Stavební úřad nepřihlíží k vyjádřením a závazným stanoviskům dotčených orgánů v částech, v nichž překračují jejich působnost, a ve věcech, o nichž bylo rozhodnuto již při vydání územně plánovací dokumentace. </w:t>
      </w:r>
      <w:r w:rsidRPr="000C7CBD">
        <w:t xml:space="preserve">Na vyžádání stavebního úřadu vydá dotčený orgán do 5 dnů sdělení k návrhům, námitkám, vyjádřením nebo návrhům důkazů účastníků řízení, které se týkají jím chráněného veřejného zájmu. </w:t>
      </w:r>
    </w:p>
    <w:p w14:paraId="01A79159" w14:textId="77777777" w:rsidR="000C7CBD" w:rsidRPr="000C7CBD" w:rsidRDefault="000C7CBD" w:rsidP="00E10F5C">
      <w:pPr>
        <w:pStyle w:val="Default"/>
        <w:spacing w:line="264" w:lineRule="auto"/>
        <w:jc w:val="both"/>
      </w:pPr>
      <w:r w:rsidRPr="000C7CBD">
        <w:rPr>
          <w:b/>
          <w:bCs/>
        </w:rPr>
        <w:t xml:space="preserve">(4) Při posuzování souladu záměru s požadavky vlastníků veřejné dopravní a technické infrastruktury, s výjimkou technické infrastruktury, s níž je příslušné hospodařit Ministerstvo obrany, Ministerstvo vnitra nebo Vězeňská služba České republiky, stavební úřad vychází jimi vydaných vyjádření a z údajů uvedených v digitální technické mapě týkajících se existence sítí a vlastníků této infrastruktury. Má se za to, že sítě, které nejsou uvedeny v digitální technické mapě, neexistují, a případné následky jdou k tíži vlastníka veřejné dopravní a technické infrastruktury. </w:t>
      </w:r>
    </w:p>
    <w:p w14:paraId="2744B9B1" w14:textId="1D3D097F" w:rsidR="000C7CBD" w:rsidRPr="000C7CBD" w:rsidRDefault="000C7CBD" w:rsidP="00E10F5C">
      <w:pPr>
        <w:pStyle w:val="Default"/>
        <w:spacing w:line="264" w:lineRule="auto"/>
        <w:jc w:val="both"/>
        <w:rPr>
          <w:color w:val="auto"/>
        </w:rPr>
      </w:pPr>
      <w:r w:rsidRPr="000C7CBD">
        <w:rPr>
          <w:b/>
          <w:bCs/>
        </w:rPr>
        <w:t xml:space="preserve">(5) Při posuzování ochrany práv a právem chráněných zájmů účastníků řízení stavební úřad vychází z jejich vlastních včasných a přípustných námitek podle § 190 až § </w:t>
      </w:r>
      <w:r w:rsidRPr="000C7CBD">
        <w:rPr>
          <w:b/>
          <w:bCs/>
          <w:color w:val="auto"/>
        </w:rPr>
        <w:t xml:space="preserve">191. Nepřípustné jsou námitky účastníka, k nimž se podle zákona nepřihlíží. Nepřípustné námitky stavební úřad nevypořádává. Námitky, které nespočívají v porušení právních předpisů, nejsou důvodné. </w:t>
      </w:r>
    </w:p>
    <w:p w14:paraId="320F8F75" w14:textId="12947C28" w:rsidR="00560430" w:rsidRPr="000C7CBD" w:rsidRDefault="000C7CBD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CBD">
        <w:rPr>
          <w:rFonts w:ascii="Times New Roman" w:hAnsi="Times New Roman" w:cs="Times New Roman"/>
          <w:b/>
          <w:bCs/>
          <w:sz w:val="24"/>
          <w:szCs w:val="24"/>
        </w:rPr>
        <w:t>(6) Splnění podmínek podle odstavce 1 se posuzuje ke dni podání žádosti; to platí i v odvolacím, přezkumném, soudním a opakovaném řízení. Pokud o to stavebník požádá, posuzuje se splnění podmínek podle odstavce 1 ke dni rozhodnutí.</w:t>
      </w:r>
    </w:p>
    <w:p w14:paraId="2D2B4C94" w14:textId="77777777" w:rsidR="00560430" w:rsidRPr="00560430" w:rsidRDefault="00560430" w:rsidP="00E10F5C">
      <w:pPr>
        <w:spacing w:after="0" w:line="264" w:lineRule="auto"/>
        <w:jc w:val="both"/>
        <w:rPr>
          <w:rFonts w:ascii="Times New Roman" w:hAnsi="Times New Roman"/>
        </w:rPr>
      </w:pPr>
    </w:p>
    <w:p w14:paraId="64375330" w14:textId="77777777" w:rsidR="00383F41" w:rsidRPr="0060156B" w:rsidRDefault="00383F41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95528" w14:textId="3EE3DD33" w:rsidR="00E62695" w:rsidRPr="0060156B" w:rsidRDefault="00F96AA2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56B">
        <w:rPr>
          <w:rFonts w:ascii="Times New Roman" w:hAnsi="Times New Roman" w:cs="Times New Roman"/>
          <w:sz w:val="24"/>
          <w:szCs w:val="24"/>
        </w:rPr>
        <w:t xml:space="preserve">V Praze dne </w:t>
      </w:r>
      <w:r w:rsidR="00A40957">
        <w:rPr>
          <w:rFonts w:ascii="Times New Roman" w:hAnsi="Times New Roman" w:cs="Times New Roman"/>
          <w:sz w:val="24"/>
          <w:szCs w:val="24"/>
        </w:rPr>
        <w:t>26</w:t>
      </w:r>
      <w:r w:rsidRPr="0060156B">
        <w:rPr>
          <w:rFonts w:ascii="Times New Roman" w:hAnsi="Times New Roman" w:cs="Times New Roman"/>
          <w:sz w:val="24"/>
          <w:szCs w:val="24"/>
        </w:rPr>
        <w:t xml:space="preserve">. </w:t>
      </w:r>
      <w:r w:rsidR="00A40957">
        <w:rPr>
          <w:rFonts w:ascii="Times New Roman" w:hAnsi="Times New Roman" w:cs="Times New Roman"/>
          <w:sz w:val="24"/>
          <w:szCs w:val="24"/>
        </w:rPr>
        <w:t>května</w:t>
      </w:r>
      <w:r w:rsidRPr="0060156B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BC754D4" w14:textId="77777777" w:rsidR="00E62695" w:rsidRPr="0060156B" w:rsidRDefault="00E62695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60156B" w:rsidRDefault="00E62695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56B">
        <w:rPr>
          <w:rFonts w:ascii="Times New Roman" w:hAnsi="Times New Roman" w:cs="Times New Roman"/>
          <w:sz w:val="24"/>
          <w:szCs w:val="24"/>
        </w:rPr>
        <w:t>Karel Haas</w:t>
      </w:r>
    </w:p>
    <w:p w14:paraId="5E9A4A80" w14:textId="77777777" w:rsidR="00865D0A" w:rsidRPr="0060156B" w:rsidRDefault="00865D0A" w:rsidP="00E10F5C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156B">
        <w:rPr>
          <w:rFonts w:ascii="Times New Roman" w:hAnsi="Times New Roman" w:cs="Times New Roman"/>
          <w:sz w:val="24"/>
          <w:szCs w:val="24"/>
        </w:rPr>
        <w:t xml:space="preserve">Martin Kupka </w:t>
      </w:r>
    </w:p>
    <w:p w14:paraId="0C8049D1" w14:textId="77777777" w:rsidR="00E62695" w:rsidRPr="0060156B" w:rsidRDefault="00E62695" w:rsidP="00E10F5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56B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RPr="0060156B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E1822" w14:textId="77777777" w:rsidR="005D0ECA" w:rsidRDefault="005D0ECA" w:rsidP="00E10F5C">
      <w:pPr>
        <w:spacing w:after="0" w:line="240" w:lineRule="auto"/>
      </w:pPr>
      <w:r>
        <w:separator/>
      </w:r>
    </w:p>
  </w:endnote>
  <w:endnote w:type="continuationSeparator" w:id="0">
    <w:p w14:paraId="3FF4531A" w14:textId="77777777" w:rsidR="005D0ECA" w:rsidRDefault="005D0ECA" w:rsidP="00E10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7E3A" w14:textId="77777777" w:rsidR="005D0ECA" w:rsidRDefault="005D0ECA" w:rsidP="00E10F5C">
      <w:pPr>
        <w:spacing w:after="0" w:line="240" w:lineRule="auto"/>
      </w:pPr>
      <w:r>
        <w:separator/>
      </w:r>
    </w:p>
  </w:footnote>
  <w:footnote w:type="continuationSeparator" w:id="0">
    <w:p w14:paraId="53ECB688" w14:textId="77777777" w:rsidR="005D0ECA" w:rsidRDefault="005D0ECA" w:rsidP="00E10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EE78EE"/>
    <w:multiLevelType w:val="multilevel"/>
    <w:tmpl w:val="FFFFFFFF"/>
    <w:lvl w:ilvl="0">
      <w:start w:val="4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B0907C8"/>
    <w:multiLevelType w:val="hybridMultilevel"/>
    <w:tmpl w:val="E884D4C2"/>
    <w:lvl w:ilvl="0" w:tplc="7D8CC6D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095968"/>
    <w:multiLevelType w:val="hybridMultilevel"/>
    <w:tmpl w:val="21643F3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8"/>
  </w:num>
  <w:num w:numId="3" w16cid:durableId="926159642">
    <w:abstractNumId w:val="6"/>
  </w:num>
  <w:num w:numId="4" w16cid:durableId="1013724023">
    <w:abstractNumId w:val="5"/>
  </w:num>
  <w:num w:numId="5" w16cid:durableId="762189207">
    <w:abstractNumId w:val="3"/>
  </w:num>
  <w:num w:numId="6" w16cid:durableId="2094205377">
    <w:abstractNumId w:val="2"/>
  </w:num>
  <w:num w:numId="7" w16cid:durableId="956057971">
    <w:abstractNumId w:val="7"/>
  </w:num>
  <w:num w:numId="8" w16cid:durableId="51664489">
    <w:abstractNumId w:val="1"/>
  </w:num>
  <w:num w:numId="9" w16cid:durableId="726221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51397"/>
    <w:rsid w:val="000601B2"/>
    <w:rsid w:val="000834F2"/>
    <w:rsid w:val="000945AE"/>
    <w:rsid w:val="000A6FD2"/>
    <w:rsid w:val="000C7CBD"/>
    <w:rsid w:val="000D2CA0"/>
    <w:rsid w:val="000D5878"/>
    <w:rsid w:val="000F1980"/>
    <w:rsid w:val="00136653"/>
    <w:rsid w:val="00160A62"/>
    <w:rsid w:val="00185506"/>
    <w:rsid w:val="001A5E97"/>
    <w:rsid w:val="001C7743"/>
    <w:rsid w:val="001F3FC3"/>
    <w:rsid w:val="00207E8E"/>
    <w:rsid w:val="002274C3"/>
    <w:rsid w:val="00246CDA"/>
    <w:rsid w:val="00294651"/>
    <w:rsid w:val="002A236B"/>
    <w:rsid w:val="002F3503"/>
    <w:rsid w:val="002F3F8D"/>
    <w:rsid w:val="003313A6"/>
    <w:rsid w:val="00383F41"/>
    <w:rsid w:val="003867EB"/>
    <w:rsid w:val="00390E77"/>
    <w:rsid w:val="003F17FE"/>
    <w:rsid w:val="00412C43"/>
    <w:rsid w:val="00421ACF"/>
    <w:rsid w:val="00426154"/>
    <w:rsid w:val="00473338"/>
    <w:rsid w:val="00485102"/>
    <w:rsid w:val="004965EF"/>
    <w:rsid w:val="004B3317"/>
    <w:rsid w:val="004B6659"/>
    <w:rsid w:val="004C5C0D"/>
    <w:rsid w:val="005051CD"/>
    <w:rsid w:val="00515A40"/>
    <w:rsid w:val="00525762"/>
    <w:rsid w:val="0053682A"/>
    <w:rsid w:val="00560430"/>
    <w:rsid w:val="005710B7"/>
    <w:rsid w:val="00572614"/>
    <w:rsid w:val="00573649"/>
    <w:rsid w:val="00574A21"/>
    <w:rsid w:val="00592638"/>
    <w:rsid w:val="005C0C03"/>
    <w:rsid w:val="005D0ECA"/>
    <w:rsid w:val="005F1981"/>
    <w:rsid w:val="005F2E3F"/>
    <w:rsid w:val="0060156B"/>
    <w:rsid w:val="0060450E"/>
    <w:rsid w:val="0065280B"/>
    <w:rsid w:val="00665F11"/>
    <w:rsid w:val="00692302"/>
    <w:rsid w:val="006B0ECD"/>
    <w:rsid w:val="006C632A"/>
    <w:rsid w:val="006C7951"/>
    <w:rsid w:val="006E6DEE"/>
    <w:rsid w:val="0071534F"/>
    <w:rsid w:val="007535CC"/>
    <w:rsid w:val="007541C1"/>
    <w:rsid w:val="00767836"/>
    <w:rsid w:val="00776176"/>
    <w:rsid w:val="00786579"/>
    <w:rsid w:val="007A6DD0"/>
    <w:rsid w:val="007C0AF2"/>
    <w:rsid w:val="008023DD"/>
    <w:rsid w:val="008414E1"/>
    <w:rsid w:val="00865D0A"/>
    <w:rsid w:val="008702C1"/>
    <w:rsid w:val="0087572D"/>
    <w:rsid w:val="008F0756"/>
    <w:rsid w:val="008F5D54"/>
    <w:rsid w:val="00921DA7"/>
    <w:rsid w:val="00936FC5"/>
    <w:rsid w:val="009738CA"/>
    <w:rsid w:val="009950FB"/>
    <w:rsid w:val="009956BD"/>
    <w:rsid w:val="009C5152"/>
    <w:rsid w:val="009C6984"/>
    <w:rsid w:val="00A12575"/>
    <w:rsid w:val="00A203A4"/>
    <w:rsid w:val="00A25687"/>
    <w:rsid w:val="00A40957"/>
    <w:rsid w:val="00A44D09"/>
    <w:rsid w:val="00A4516B"/>
    <w:rsid w:val="00AA25FE"/>
    <w:rsid w:val="00AD0B2A"/>
    <w:rsid w:val="00AE296D"/>
    <w:rsid w:val="00AF18B6"/>
    <w:rsid w:val="00B25B90"/>
    <w:rsid w:val="00B94B31"/>
    <w:rsid w:val="00BD0ED8"/>
    <w:rsid w:val="00BF179D"/>
    <w:rsid w:val="00BF71E7"/>
    <w:rsid w:val="00C16E81"/>
    <w:rsid w:val="00C25B4F"/>
    <w:rsid w:val="00C418E1"/>
    <w:rsid w:val="00C57181"/>
    <w:rsid w:val="00C67BE9"/>
    <w:rsid w:val="00C874DA"/>
    <w:rsid w:val="00C94A33"/>
    <w:rsid w:val="00C96991"/>
    <w:rsid w:val="00CB7A6C"/>
    <w:rsid w:val="00CD3F68"/>
    <w:rsid w:val="00D6415A"/>
    <w:rsid w:val="00DC43C8"/>
    <w:rsid w:val="00DC5FE2"/>
    <w:rsid w:val="00DF412E"/>
    <w:rsid w:val="00E10F5C"/>
    <w:rsid w:val="00E37DBC"/>
    <w:rsid w:val="00E62695"/>
    <w:rsid w:val="00E62E18"/>
    <w:rsid w:val="00E70C11"/>
    <w:rsid w:val="00EB6440"/>
    <w:rsid w:val="00EE2C75"/>
    <w:rsid w:val="00EF28DF"/>
    <w:rsid w:val="00F05078"/>
    <w:rsid w:val="00F1798E"/>
    <w:rsid w:val="00F474DB"/>
    <w:rsid w:val="00F7183A"/>
    <w:rsid w:val="00F82175"/>
    <w:rsid w:val="00F96AA2"/>
    <w:rsid w:val="00FA38A5"/>
    <w:rsid w:val="00FB6599"/>
    <w:rsid w:val="00FD340B"/>
    <w:rsid w:val="00FD62B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42B4"/>
  <w15:chartTrackingRefBased/>
  <w15:docId w15:val="{8CA4348D-7CDC-B842-89C3-09D7F50F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ln"/>
    <w:rsid w:val="00560430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cs-CZ" w:bidi="ar-SA"/>
    </w:rPr>
  </w:style>
  <w:style w:type="character" w:customStyle="1" w:styleId="normaltextrun">
    <w:name w:val="normaltextrun"/>
    <w:basedOn w:val="Standardnpsmoodstavce"/>
    <w:rsid w:val="00560430"/>
  </w:style>
  <w:style w:type="character" w:customStyle="1" w:styleId="eop">
    <w:name w:val="eop"/>
    <w:basedOn w:val="Standardnpsmoodstavce"/>
    <w:rsid w:val="00560430"/>
  </w:style>
  <w:style w:type="paragraph" w:customStyle="1" w:styleId="Default">
    <w:name w:val="Default"/>
    <w:rsid w:val="000C7C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Zhlav">
    <w:name w:val="header"/>
    <w:basedOn w:val="Normln"/>
    <w:link w:val="ZhlavChar"/>
    <w:uiPriority w:val="99"/>
    <w:unhideWhenUsed/>
    <w:rsid w:val="00E10F5C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ZhlavChar">
    <w:name w:val="Záhlaví Char"/>
    <w:basedOn w:val="Standardnpsmoodstavce"/>
    <w:link w:val="Zhlav"/>
    <w:uiPriority w:val="99"/>
    <w:rsid w:val="00E10F5C"/>
    <w:rPr>
      <w:rFonts w:ascii="Calibri" w:eastAsia="Calibri" w:hAnsi="Calibri" w:cs="Mangal"/>
      <w:kern w:val="0"/>
      <w:sz w:val="22"/>
      <w:szCs w:val="20"/>
      <w:lang w:eastAsia="zh-CN" w:bidi="hi-IN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E10F5C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ZpatChar">
    <w:name w:val="Zápatí Char"/>
    <w:basedOn w:val="Standardnpsmoodstavce"/>
    <w:link w:val="Zpat"/>
    <w:uiPriority w:val="99"/>
    <w:rsid w:val="00E10F5C"/>
    <w:rPr>
      <w:rFonts w:ascii="Calibri" w:eastAsia="Calibri" w:hAnsi="Calibri" w:cs="Mangal"/>
      <w:kern w:val="0"/>
      <w:sz w:val="22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8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4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8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15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74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49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650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853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94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9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1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9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57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60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73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546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919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44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811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8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1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3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26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3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2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73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66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17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64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61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556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36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7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38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973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15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8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084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842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772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699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9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0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5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0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4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98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83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67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72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26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40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6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9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36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2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05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111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536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02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864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29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547D1-41BD-4441-B3DC-5814E7DD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1157</Words>
  <Characters>6832</Characters>
  <Application>Microsoft Office Word</Application>
  <DocSecurity>0</DocSecurity>
  <Lines>56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Baloun</dc:creator>
  <cp:keywords/>
  <dc:description/>
  <cp:lastModifiedBy>Mgr. Karel Haas</cp:lastModifiedBy>
  <cp:revision>9</cp:revision>
  <dcterms:created xsi:type="dcterms:W3CDTF">2026-05-26T23:07:00Z</dcterms:created>
  <dcterms:modified xsi:type="dcterms:W3CDTF">2026-05-27T10:19:00Z</dcterms:modified>
</cp:coreProperties>
</file>