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282A09">
      <w:pPr>
        <w:widowControl w:val="0"/>
        <w:spacing w:after="0" w:line="264" w:lineRule="auto"/>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6"/>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282A09">
      <w:pPr>
        <w:widowControl w:val="0"/>
        <w:spacing w:after="0" w:line="264" w:lineRule="auto"/>
        <w:ind w:right="353"/>
        <w:jc w:val="center"/>
        <w:rPr>
          <w:rFonts w:ascii="Times New Roman" w:eastAsia="Times New Roman" w:hAnsi="Times New Roman" w:cs="Times New Roman"/>
          <w:color w:val="000000"/>
          <w:sz w:val="28"/>
          <w:szCs w:val="28"/>
        </w:rPr>
      </w:pPr>
    </w:p>
    <w:p w14:paraId="24835F31" w14:textId="77777777" w:rsidR="002F3503" w:rsidRDefault="002F3503" w:rsidP="00282A09">
      <w:pPr>
        <w:widowControl w:val="0"/>
        <w:spacing w:after="0" w:line="264" w:lineRule="auto"/>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282A09">
      <w:pPr>
        <w:spacing w:after="0" w:line="264" w:lineRule="auto"/>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282A09">
      <w:pPr>
        <w:pStyle w:val="Podnadpis"/>
        <w:pBdr>
          <w:bottom w:val="nil"/>
        </w:pBdr>
        <w:spacing w:after="0" w:line="264" w:lineRule="auto"/>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282A09">
      <w:pPr>
        <w:spacing w:after="0" w:line="264" w:lineRule="auto"/>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282A09">
      <w:pPr>
        <w:spacing w:after="0" w:line="264" w:lineRule="auto"/>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282A09">
      <w:pPr>
        <w:spacing w:after="0" w:line="264"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282A09">
      <w:pPr>
        <w:spacing w:after="0" w:line="264" w:lineRule="auto"/>
        <w:jc w:val="both"/>
        <w:rPr>
          <w:rFonts w:ascii="Times New Roman" w:eastAsia="Times New Roman" w:hAnsi="Times New Roman" w:cs="Times New Roman"/>
          <w:sz w:val="28"/>
          <w:szCs w:val="28"/>
        </w:rPr>
      </w:pPr>
    </w:p>
    <w:p w14:paraId="1638ED63" w14:textId="77777777" w:rsidR="002F3503" w:rsidRDefault="002F3503" w:rsidP="00282A09">
      <w:pPr>
        <w:keepNext/>
        <w:keepLines/>
        <w:spacing w:after="0" w:line="264"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5FB0F18C" w:rsidR="002F3503" w:rsidRDefault="00A25687" w:rsidP="00282A09">
      <w:pPr>
        <w:spacing w:after="0" w:line="26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sidR="003F17FE">
        <w:rPr>
          <w:rFonts w:ascii="Times New Roman" w:eastAsia="Times New Roman" w:hAnsi="Times New Roman" w:cs="Times New Roman"/>
          <w:b/>
          <w:sz w:val="28"/>
          <w:szCs w:val="28"/>
        </w:rPr>
        <w:t xml:space="preserve">Karla Haase, </w:t>
      </w:r>
      <w:r w:rsidR="00865D0A">
        <w:rPr>
          <w:rFonts w:ascii="Times New Roman" w:eastAsia="Times New Roman" w:hAnsi="Times New Roman" w:cs="Times New Roman"/>
          <w:b/>
          <w:sz w:val="28"/>
          <w:szCs w:val="28"/>
        </w:rPr>
        <w:t xml:space="preserve">Martina Kupky a </w:t>
      </w:r>
      <w:r>
        <w:rPr>
          <w:rFonts w:ascii="Times New Roman" w:eastAsia="Times New Roman" w:hAnsi="Times New Roman" w:cs="Times New Roman"/>
          <w:b/>
          <w:sz w:val="28"/>
          <w:szCs w:val="28"/>
        </w:rPr>
        <w:t>Jiřího Havránka</w:t>
      </w:r>
      <w:bookmarkEnd w:id="0"/>
    </w:p>
    <w:p w14:paraId="55CC69FB" w14:textId="77777777" w:rsidR="002F3503" w:rsidRDefault="002F3503" w:rsidP="00282A09">
      <w:pPr>
        <w:spacing w:after="0" w:line="264" w:lineRule="auto"/>
        <w:jc w:val="center"/>
        <w:rPr>
          <w:rFonts w:ascii="Times New Roman" w:eastAsia="Times New Roman" w:hAnsi="Times New Roman" w:cs="Times New Roman"/>
          <w:sz w:val="28"/>
          <w:szCs w:val="28"/>
        </w:rPr>
      </w:pPr>
    </w:p>
    <w:p w14:paraId="1E0AB580" w14:textId="77777777" w:rsidR="002F3503" w:rsidRDefault="002F3503" w:rsidP="00282A09">
      <w:pPr>
        <w:spacing w:after="0" w:line="264" w:lineRule="auto"/>
        <w:jc w:val="center"/>
        <w:rPr>
          <w:rFonts w:ascii="Times New Roman" w:eastAsia="Times New Roman" w:hAnsi="Times New Roman" w:cs="Times New Roman"/>
          <w:sz w:val="28"/>
          <w:szCs w:val="28"/>
        </w:rPr>
      </w:pPr>
    </w:p>
    <w:p w14:paraId="1BE1B7E2" w14:textId="77777777" w:rsidR="002F3503" w:rsidRDefault="002F3503" w:rsidP="00282A09">
      <w:pPr>
        <w:spacing w:after="0" w:line="264" w:lineRule="auto"/>
        <w:jc w:val="center"/>
        <w:rPr>
          <w:rFonts w:ascii="Times New Roman" w:eastAsia="Times New Roman" w:hAnsi="Times New Roman" w:cs="Times New Roman"/>
          <w:sz w:val="28"/>
          <w:szCs w:val="28"/>
        </w:rPr>
      </w:pPr>
    </w:p>
    <w:p w14:paraId="3D581E69" w14:textId="77777777" w:rsidR="002F3503" w:rsidRDefault="002F3503" w:rsidP="00282A09">
      <w:pPr>
        <w:spacing w:after="0" w:line="264" w:lineRule="auto"/>
        <w:jc w:val="center"/>
        <w:rPr>
          <w:rFonts w:ascii="Times New Roman" w:eastAsia="Times New Roman" w:hAnsi="Times New Roman" w:cs="Times New Roman"/>
          <w:sz w:val="28"/>
          <w:szCs w:val="28"/>
        </w:rPr>
      </w:pPr>
    </w:p>
    <w:p w14:paraId="78937CA8" w14:textId="77777777" w:rsidR="002F3503" w:rsidRDefault="002F3503" w:rsidP="00282A09">
      <w:pPr>
        <w:spacing w:after="0" w:line="264" w:lineRule="auto"/>
        <w:jc w:val="center"/>
        <w:rPr>
          <w:rFonts w:ascii="Times New Roman" w:eastAsia="Times New Roman" w:hAnsi="Times New Roman" w:cs="Times New Roman"/>
          <w:sz w:val="28"/>
          <w:szCs w:val="28"/>
        </w:rPr>
      </w:pPr>
    </w:p>
    <w:p w14:paraId="4D22230E" w14:textId="77777777" w:rsidR="002F3503" w:rsidRDefault="002F3503" w:rsidP="00282A09">
      <w:pPr>
        <w:spacing w:after="0" w:line="264" w:lineRule="auto"/>
        <w:jc w:val="center"/>
        <w:rPr>
          <w:rFonts w:ascii="Times New Roman" w:eastAsia="Times New Roman" w:hAnsi="Times New Roman" w:cs="Times New Roman"/>
          <w:sz w:val="28"/>
          <w:szCs w:val="28"/>
        </w:rPr>
      </w:pPr>
    </w:p>
    <w:p w14:paraId="2A184533" w14:textId="6BDB043E" w:rsidR="00865D0A" w:rsidRPr="00865D0A" w:rsidRDefault="00AF6069" w:rsidP="00282A09">
      <w:pPr>
        <w:spacing w:after="0" w:line="26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282A09">
      <w:pPr>
        <w:spacing w:after="0" w:line="264" w:lineRule="auto"/>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282A09">
      <w:pPr>
        <w:spacing w:after="0" w:line="264"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282A09">
      <w:pPr>
        <w:spacing w:after="0" w:line="264"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282A09">
      <w:pPr>
        <w:spacing w:after="0" w:line="264" w:lineRule="auto"/>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282A09">
      <w:pPr>
        <w:spacing w:after="0" w:line="264" w:lineRule="auto"/>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08513939" w14:textId="77777777" w:rsidR="002F3503" w:rsidRDefault="002F3503" w:rsidP="00282A09">
      <w:pPr>
        <w:spacing w:after="0" w:line="264" w:lineRule="auto"/>
        <w:jc w:val="center"/>
        <w:rPr>
          <w:rFonts w:ascii="Times New Roman" w:eastAsia="Times New Roman" w:hAnsi="Times New Roman" w:cs="Times New Roman"/>
          <w:b/>
          <w:sz w:val="28"/>
          <w:szCs w:val="28"/>
        </w:rPr>
      </w:pPr>
    </w:p>
    <w:p w14:paraId="2F0CE7A5" w14:textId="77777777" w:rsidR="002F3503" w:rsidRDefault="002F3503" w:rsidP="00282A09">
      <w:pPr>
        <w:spacing w:after="0" w:line="264" w:lineRule="auto"/>
        <w:jc w:val="center"/>
        <w:rPr>
          <w:rFonts w:ascii="Times New Roman" w:eastAsia="Times New Roman" w:hAnsi="Times New Roman" w:cs="Times New Roman"/>
          <w:b/>
          <w:sz w:val="28"/>
          <w:szCs w:val="28"/>
        </w:rPr>
      </w:pPr>
    </w:p>
    <w:p w14:paraId="1D1F77AA" w14:textId="6AFBD2FF" w:rsidR="002F3503" w:rsidRDefault="002F3503" w:rsidP="00282A09">
      <w:pPr>
        <w:spacing w:after="0"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282A09">
      <w:pPr>
        <w:spacing w:after="0" w:line="264" w:lineRule="auto"/>
        <w:jc w:val="center"/>
        <w:rPr>
          <w:rFonts w:ascii="Times New Roman" w:eastAsia="Times New Roman" w:hAnsi="Times New Roman" w:cs="Times New Roman"/>
          <w:sz w:val="28"/>
          <w:szCs w:val="28"/>
        </w:rPr>
      </w:pPr>
    </w:p>
    <w:p w14:paraId="073F744C" w14:textId="77777777" w:rsidR="002F3503" w:rsidRDefault="002F3503" w:rsidP="00282A09">
      <w:pPr>
        <w:spacing w:after="0" w:line="264" w:lineRule="auto"/>
        <w:jc w:val="both"/>
        <w:rPr>
          <w:rFonts w:ascii="Times New Roman" w:eastAsia="Times New Roman" w:hAnsi="Times New Roman" w:cs="Times New Roman"/>
          <w:sz w:val="28"/>
          <w:szCs w:val="28"/>
        </w:rPr>
      </w:pPr>
    </w:p>
    <w:p w14:paraId="285D323F" w14:textId="77777777" w:rsidR="002F3503" w:rsidRDefault="002F3503" w:rsidP="00282A09">
      <w:pPr>
        <w:spacing w:after="0" w:line="264" w:lineRule="auto"/>
        <w:jc w:val="both"/>
        <w:rPr>
          <w:rFonts w:ascii="Times New Roman" w:eastAsia="Times New Roman" w:hAnsi="Times New Roman" w:cs="Times New Roman"/>
          <w:sz w:val="24"/>
          <w:szCs w:val="24"/>
        </w:rPr>
      </w:pPr>
    </w:p>
    <w:p w14:paraId="1A5D5BED" w14:textId="77777777" w:rsidR="002F3503" w:rsidRDefault="002F3503" w:rsidP="00282A09">
      <w:pPr>
        <w:spacing w:after="0" w:line="264" w:lineRule="auto"/>
        <w:jc w:val="both"/>
        <w:rPr>
          <w:rFonts w:ascii="Times New Roman" w:eastAsia="Times New Roman" w:hAnsi="Times New Roman" w:cs="Times New Roman"/>
          <w:sz w:val="24"/>
          <w:szCs w:val="24"/>
        </w:rPr>
      </w:pPr>
    </w:p>
    <w:p w14:paraId="0A9C600D" w14:textId="77777777" w:rsidR="002F3503" w:rsidRDefault="002F3503" w:rsidP="00282A09">
      <w:pPr>
        <w:spacing w:after="0" w:line="264" w:lineRule="auto"/>
        <w:jc w:val="both"/>
        <w:rPr>
          <w:rFonts w:ascii="Times New Roman" w:eastAsia="Times New Roman" w:hAnsi="Times New Roman" w:cs="Times New Roman"/>
          <w:b/>
          <w:color w:val="000000"/>
          <w:sz w:val="24"/>
          <w:szCs w:val="24"/>
        </w:rPr>
      </w:pPr>
    </w:p>
    <w:p w14:paraId="2C1D9B1B" w14:textId="77777777" w:rsidR="002F3503" w:rsidRDefault="002F3503" w:rsidP="00282A09">
      <w:pPr>
        <w:spacing w:after="0" w:line="264" w:lineRule="auto"/>
        <w:jc w:val="both"/>
        <w:rPr>
          <w:rFonts w:ascii="Times New Roman" w:eastAsia="Times New Roman" w:hAnsi="Times New Roman" w:cs="Times New Roman"/>
          <w:b/>
          <w:color w:val="000000"/>
          <w:sz w:val="24"/>
          <w:szCs w:val="24"/>
        </w:rPr>
      </w:pPr>
    </w:p>
    <w:p w14:paraId="12E0F96A" w14:textId="1ED56908" w:rsidR="002F3503" w:rsidRPr="00282A09" w:rsidRDefault="002F3503" w:rsidP="00282A09">
      <w:pPr>
        <w:spacing w:after="0" w:line="264" w:lineRule="auto"/>
        <w:jc w:val="both"/>
        <w:rPr>
          <w:rFonts w:ascii="Times New Roman" w:eastAsia="Times New Roman" w:hAnsi="Times New Roman" w:cs="Times New Roman"/>
          <w:b/>
          <w:sz w:val="24"/>
          <w:szCs w:val="24"/>
        </w:rPr>
      </w:pPr>
      <w:r>
        <w:br w:type="page"/>
      </w:r>
      <w:bookmarkStart w:id="2" w:name="_heading=h.gjdgxs"/>
      <w:bookmarkEnd w:id="2"/>
      <w:r w:rsidRPr="00282A09">
        <w:rPr>
          <w:rFonts w:ascii="Times New Roman" w:eastAsia="Times New Roman" w:hAnsi="Times New Roman" w:cs="Times New Roman"/>
          <w:b/>
          <w:sz w:val="24"/>
          <w:szCs w:val="24"/>
        </w:rPr>
        <w:lastRenderedPageBreak/>
        <w:t>Pozměňovací návrh posla</w:t>
      </w:r>
      <w:r w:rsidR="00A25687" w:rsidRPr="00282A09">
        <w:rPr>
          <w:rFonts w:ascii="Times New Roman" w:eastAsia="Times New Roman" w:hAnsi="Times New Roman" w:cs="Times New Roman"/>
          <w:b/>
          <w:sz w:val="24"/>
          <w:szCs w:val="24"/>
        </w:rPr>
        <w:t xml:space="preserve">nců </w:t>
      </w:r>
      <w:r w:rsidR="00865D0A" w:rsidRPr="00282A09">
        <w:rPr>
          <w:rFonts w:ascii="Times New Roman" w:eastAsia="Times New Roman" w:hAnsi="Times New Roman" w:cs="Times New Roman"/>
          <w:b/>
          <w:sz w:val="24"/>
          <w:szCs w:val="24"/>
        </w:rPr>
        <w:t>Karla Haase, Martina Kupky a Jiřího Havránka</w:t>
      </w:r>
      <w:r w:rsidRPr="00282A09">
        <w:rPr>
          <w:rFonts w:ascii="Times New Roman" w:eastAsia="Times New Roman" w:hAnsi="Times New Roman" w:cs="Times New Roman"/>
          <w:b/>
          <w:sz w:val="24"/>
          <w:szCs w:val="24"/>
        </w:rPr>
        <w:t xml:space="preserve"> k návrhu </w:t>
      </w:r>
      <w:r w:rsidR="00865D0A" w:rsidRPr="00282A09">
        <w:rPr>
          <w:rFonts w:ascii="Times New Roman" w:eastAsia="Times New Roman" w:hAnsi="Times New Roman" w:cs="Times New Roman"/>
          <w:b/>
          <w:sz w:val="24"/>
          <w:szCs w:val="24"/>
        </w:rPr>
        <w:t xml:space="preserve">poslanců Andreje Babiše, Karla Havlíčka, Tomia Okamury, Petra </w:t>
      </w:r>
      <w:proofErr w:type="spellStart"/>
      <w:r w:rsidR="00865D0A" w:rsidRPr="00282A09">
        <w:rPr>
          <w:rFonts w:ascii="Times New Roman" w:eastAsia="Times New Roman" w:hAnsi="Times New Roman" w:cs="Times New Roman"/>
          <w:b/>
          <w:sz w:val="24"/>
          <w:szCs w:val="24"/>
        </w:rPr>
        <w:t>Macinky</w:t>
      </w:r>
      <w:proofErr w:type="spellEnd"/>
      <w:r w:rsidR="00865D0A" w:rsidRPr="00282A09">
        <w:rPr>
          <w:rFonts w:ascii="Times New Roman" w:eastAsia="Times New Roman" w:hAnsi="Times New Roman" w:cs="Times New Roman"/>
          <w:b/>
          <w:sz w:val="24"/>
          <w:szCs w:val="24"/>
        </w:rPr>
        <w:t xml:space="preserve">, Aleny Schillerové, Zuzany Schwarz Bařtipánové, Radima Fialy, Borise Šťastného, Vojtěcha </w:t>
      </w:r>
      <w:proofErr w:type="spellStart"/>
      <w:r w:rsidR="00865D0A" w:rsidRPr="00282A09">
        <w:rPr>
          <w:rFonts w:ascii="Times New Roman" w:eastAsia="Times New Roman" w:hAnsi="Times New Roman" w:cs="Times New Roman"/>
          <w:b/>
          <w:sz w:val="24"/>
          <w:szCs w:val="24"/>
        </w:rPr>
        <w:t>Krňanského</w:t>
      </w:r>
      <w:proofErr w:type="spellEnd"/>
      <w:r w:rsidR="00865D0A" w:rsidRPr="00282A09">
        <w:rPr>
          <w:rFonts w:ascii="Times New Roman" w:eastAsia="Times New Roman" w:hAnsi="Times New Roman" w:cs="Times New Roman"/>
          <w:b/>
          <w:sz w:val="24"/>
          <w:szCs w:val="24"/>
        </w:rPr>
        <w:t xml:space="preserve"> a Marie </w:t>
      </w:r>
      <w:proofErr w:type="spellStart"/>
      <w:r w:rsidR="00865D0A" w:rsidRPr="00282A09">
        <w:rPr>
          <w:rFonts w:ascii="Times New Roman" w:eastAsia="Times New Roman" w:hAnsi="Times New Roman" w:cs="Times New Roman"/>
          <w:b/>
          <w:sz w:val="24"/>
          <w:szCs w:val="24"/>
        </w:rPr>
        <w:t>Pošarové</w:t>
      </w:r>
      <w:proofErr w:type="spellEnd"/>
      <w:r w:rsidR="00865D0A" w:rsidRPr="00282A09">
        <w:rPr>
          <w:rFonts w:ascii="Times New Roman" w:eastAsia="Times New Roman" w:hAnsi="Times New Roman" w:cs="Times New Roman"/>
          <w:b/>
          <w:sz w:val="24"/>
          <w:szCs w:val="24"/>
        </w:rPr>
        <w:t xml:space="preserve"> na vydání zákona, kterým se mění zákon č. 283/2021 Sb., stavební zákon, ve znění pozdějších předpisů, a některé další související zákony, </w:t>
      </w:r>
      <w:r w:rsidR="00865D0A" w:rsidRPr="00282A09">
        <w:rPr>
          <w:rFonts w:ascii="Times New Roman" w:eastAsia="Times New Roman" w:hAnsi="Times New Roman" w:cs="Times New Roman"/>
          <w:b/>
          <w:sz w:val="24"/>
          <w:szCs w:val="24"/>
          <w:u w:val="single"/>
        </w:rPr>
        <w:t>ve znění komplexního pozměňovacího návrhu</w:t>
      </w:r>
      <w:r w:rsidRPr="00282A09">
        <w:rPr>
          <w:rFonts w:ascii="Times New Roman" w:eastAsia="Times New Roman" w:hAnsi="Times New Roman" w:cs="Times New Roman"/>
          <w:b/>
          <w:sz w:val="24"/>
          <w:szCs w:val="24"/>
        </w:rPr>
        <w:t xml:space="preserve"> (Sněmovní tisk č. </w:t>
      </w:r>
      <w:r w:rsidR="00865D0A" w:rsidRPr="00282A09">
        <w:rPr>
          <w:rFonts w:ascii="Times New Roman" w:eastAsia="Times New Roman" w:hAnsi="Times New Roman" w:cs="Times New Roman"/>
          <w:b/>
          <w:sz w:val="24"/>
          <w:szCs w:val="24"/>
        </w:rPr>
        <w:t>67</w:t>
      </w:r>
      <w:r w:rsidRPr="00282A09">
        <w:rPr>
          <w:rFonts w:ascii="Times New Roman" w:eastAsia="Times New Roman" w:hAnsi="Times New Roman" w:cs="Times New Roman"/>
          <w:b/>
          <w:sz w:val="24"/>
          <w:szCs w:val="24"/>
        </w:rPr>
        <w:t>)</w:t>
      </w:r>
      <w:r w:rsidR="009738CA" w:rsidRPr="00282A09">
        <w:rPr>
          <w:rFonts w:ascii="Times New Roman" w:eastAsia="Times New Roman" w:hAnsi="Times New Roman" w:cs="Times New Roman"/>
          <w:b/>
          <w:sz w:val="24"/>
          <w:szCs w:val="24"/>
        </w:rPr>
        <w:t>:</w:t>
      </w:r>
    </w:p>
    <w:p w14:paraId="6C1DC9C8" w14:textId="77777777" w:rsidR="009738CA" w:rsidRPr="00282A09" w:rsidRDefault="009738CA" w:rsidP="000938B2">
      <w:pPr>
        <w:spacing w:after="0" w:line="264" w:lineRule="auto"/>
        <w:jc w:val="both"/>
        <w:rPr>
          <w:rFonts w:ascii="Times New Roman" w:hAnsi="Times New Roman"/>
          <w:sz w:val="24"/>
          <w:szCs w:val="24"/>
        </w:rPr>
      </w:pPr>
    </w:p>
    <w:p w14:paraId="04C8D4DE" w14:textId="51406000" w:rsidR="00D92126" w:rsidRPr="00D92126" w:rsidRDefault="00D92126" w:rsidP="000938B2">
      <w:pPr>
        <w:numPr>
          <w:ilvl w:val="0"/>
          <w:numId w:val="7"/>
        </w:numPr>
        <w:spacing w:after="0" w:line="264" w:lineRule="auto"/>
        <w:jc w:val="both"/>
        <w:rPr>
          <w:rFonts w:ascii="Times New Roman" w:hAnsi="Times New Roman"/>
          <w:bCs/>
          <w:sz w:val="24"/>
          <w:szCs w:val="24"/>
        </w:rPr>
      </w:pPr>
      <w:r w:rsidRPr="00D92126">
        <w:rPr>
          <w:rFonts w:ascii="Times New Roman" w:hAnsi="Times New Roman"/>
          <w:bCs/>
          <w:sz w:val="24"/>
          <w:szCs w:val="24"/>
        </w:rPr>
        <w:t>V části deváté čl. XV bod 5</w:t>
      </w:r>
      <w:r w:rsidR="00AF6B3C">
        <w:rPr>
          <w:rFonts w:ascii="Times New Roman" w:hAnsi="Times New Roman"/>
          <w:bCs/>
          <w:sz w:val="24"/>
          <w:szCs w:val="24"/>
        </w:rPr>
        <w:t xml:space="preserve"> zní</w:t>
      </w:r>
      <w:r w:rsidRPr="00D92126">
        <w:rPr>
          <w:rFonts w:ascii="Times New Roman" w:hAnsi="Times New Roman"/>
          <w:bCs/>
          <w:sz w:val="24"/>
          <w:szCs w:val="24"/>
        </w:rPr>
        <w:t>:</w:t>
      </w:r>
    </w:p>
    <w:p w14:paraId="2AF214C2" w14:textId="77777777" w:rsidR="00D92126" w:rsidRPr="00282A09" w:rsidRDefault="00D92126" w:rsidP="000938B2">
      <w:pPr>
        <w:spacing w:after="0" w:line="264" w:lineRule="auto"/>
        <w:jc w:val="both"/>
        <w:rPr>
          <w:rFonts w:ascii="Times New Roman" w:hAnsi="Times New Roman"/>
          <w:bCs/>
          <w:sz w:val="24"/>
          <w:szCs w:val="24"/>
        </w:rPr>
      </w:pPr>
    </w:p>
    <w:p w14:paraId="279AF648" w14:textId="167F4120" w:rsidR="00D92126" w:rsidRPr="00D92126" w:rsidRDefault="00D92126" w:rsidP="000938B2">
      <w:pPr>
        <w:spacing w:after="0" w:line="264" w:lineRule="auto"/>
        <w:jc w:val="both"/>
        <w:rPr>
          <w:rFonts w:ascii="Times New Roman" w:hAnsi="Times New Roman"/>
          <w:sz w:val="24"/>
          <w:szCs w:val="24"/>
        </w:rPr>
      </w:pPr>
      <w:r w:rsidRPr="00D92126">
        <w:rPr>
          <w:rFonts w:ascii="Times New Roman" w:hAnsi="Times New Roman"/>
          <w:bCs/>
          <w:sz w:val="24"/>
          <w:szCs w:val="24"/>
        </w:rPr>
        <w:t xml:space="preserve">„5. </w:t>
      </w:r>
      <w:r w:rsidRPr="00D92126">
        <w:rPr>
          <w:rFonts w:ascii="Times New Roman" w:hAnsi="Times New Roman"/>
          <w:sz w:val="24"/>
          <w:szCs w:val="24"/>
        </w:rPr>
        <w:t>V § 4 odstavec 4 zní:</w:t>
      </w:r>
    </w:p>
    <w:p w14:paraId="7EE6F361" w14:textId="77777777" w:rsidR="00D92126" w:rsidRDefault="00D92126" w:rsidP="000938B2">
      <w:pPr>
        <w:spacing w:after="0" w:line="264" w:lineRule="auto"/>
        <w:jc w:val="both"/>
        <w:rPr>
          <w:rFonts w:ascii="Times New Roman" w:hAnsi="Times New Roman"/>
          <w:bCs/>
          <w:sz w:val="24"/>
          <w:szCs w:val="24"/>
        </w:rPr>
      </w:pPr>
      <w:r w:rsidRPr="00D92126">
        <w:rPr>
          <w:rFonts w:ascii="Times New Roman" w:hAnsi="Times New Roman"/>
          <w:bCs/>
          <w:sz w:val="24"/>
          <w:szCs w:val="24"/>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a záměrů umisťovaných v nezastavěném území do vzdálenosti 2000 m včetně od vnějšího okraje dálnice, silnice I. třídy, dráhy celostátní nebo regionální.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353F57BF" w14:textId="77777777" w:rsidR="00282A09" w:rsidRPr="00D92126" w:rsidRDefault="00282A09" w:rsidP="000938B2">
      <w:pPr>
        <w:spacing w:after="0" w:line="264" w:lineRule="auto"/>
        <w:jc w:val="both"/>
        <w:rPr>
          <w:rFonts w:ascii="Times New Roman" w:hAnsi="Times New Roman"/>
          <w:bCs/>
          <w:sz w:val="24"/>
          <w:szCs w:val="24"/>
        </w:rPr>
      </w:pPr>
    </w:p>
    <w:p w14:paraId="7D13DE86" w14:textId="77777777" w:rsidR="00D92126" w:rsidRPr="00D92126" w:rsidRDefault="00D92126" w:rsidP="000938B2">
      <w:pPr>
        <w:spacing w:after="0" w:line="264" w:lineRule="auto"/>
        <w:jc w:val="both"/>
        <w:rPr>
          <w:rFonts w:ascii="Times New Roman" w:hAnsi="Times New Roman"/>
          <w:sz w:val="24"/>
          <w:szCs w:val="24"/>
        </w:rPr>
      </w:pPr>
    </w:p>
    <w:p w14:paraId="7E4CB87B" w14:textId="5933D23B" w:rsidR="00D92126" w:rsidRPr="00D92126" w:rsidRDefault="00D92126" w:rsidP="000938B2">
      <w:pPr>
        <w:spacing w:after="0" w:line="264" w:lineRule="auto"/>
        <w:jc w:val="center"/>
        <w:rPr>
          <w:rFonts w:ascii="Times New Roman" w:hAnsi="Times New Roman"/>
          <w:b/>
          <w:bCs/>
          <w:sz w:val="24"/>
          <w:szCs w:val="24"/>
        </w:rPr>
      </w:pPr>
      <w:r w:rsidRPr="00D92126">
        <w:rPr>
          <w:rFonts w:ascii="Times New Roman" w:hAnsi="Times New Roman"/>
          <w:b/>
          <w:bCs/>
          <w:sz w:val="24"/>
          <w:szCs w:val="24"/>
        </w:rPr>
        <w:t>Odůvodnění</w:t>
      </w:r>
      <w:r w:rsidR="00AF6B3C">
        <w:rPr>
          <w:rFonts w:ascii="Times New Roman" w:hAnsi="Times New Roman"/>
          <w:b/>
          <w:bCs/>
          <w:sz w:val="24"/>
          <w:szCs w:val="24"/>
        </w:rPr>
        <w:t xml:space="preserve"> pozměňovacího návrhu</w:t>
      </w:r>
    </w:p>
    <w:p w14:paraId="4B538970" w14:textId="77777777" w:rsidR="00AF6B3C" w:rsidRDefault="00AF6B3C" w:rsidP="000938B2">
      <w:pPr>
        <w:spacing w:after="0" w:line="264" w:lineRule="auto"/>
        <w:jc w:val="both"/>
        <w:rPr>
          <w:rFonts w:ascii="Times New Roman" w:hAnsi="Times New Roman"/>
          <w:bCs/>
          <w:sz w:val="24"/>
          <w:szCs w:val="24"/>
        </w:rPr>
      </w:pPr>
    </w:p>
    <w:p w14:paraId="604E45FC" w14:textId="2DAFC634" w:rsidR="00D92126" w:rsidRPr="00D92126" w:rsidRDefault="00D92126" w:rsidP="000938B2">
      <w:pPr>
        <w:spacing w:after="0" w:line="264" w:lineRule="auto"/>
        <w:jc w:val="both"/>
        <w:rPr>
          <w:rFonts w:ascii="Times New Roman" w:hAnsi="Times New Roman"/>
          <w:bCs/>
          <w:sz w:val="24"/>
          <w:szCs w:val="24"/>
        </w:rPr>
      </w:pPr>
      <w:r w:rsidRPr="00D92126">
        <w:rPr>
          <w:rFonts w:ascii="Times New Roman" w:hAnsi="Times New Roman"/>
          <w:bCs/>
          <w:sz w:val="24"/>
          <w:szCs w:val="24"/>
        </w:rPr>
        <w:t>Pro zajištění hospodářského růstu ČR za environmentální efektivity (snižování emisí, prachu a hluku v obydlených oblastech) je nutné budovat průmyslové záměry právě v těsné blízkosti stávajících nebo nově vznikající dopravní infrastruktury, což přímo povede k plnění posílení logisticky efektivní přepravy zboží s odkazem na programové prohlášení vlády ČR “Postavíme nová překladiště a napojíme průmyslové areály. Naším cílem je zastavit úbytek přepravovaného zboží po železnici a zvýšit její konkurenceschopnost”. Výjimka neznamená, že stavba nebude procházet individuálním posouzením, pouze umožní, aby k takovému posouzení vůbec mohlo dojít, a předejde tomu, aby si ČR plošným opatřením zamrazila svůj hospodářský rozvoj a připravila se o potenciálně ekonomicky a společensky významné projekty.</w:t>
      </w:r>
    </w:p>
    <w:p w14:paraId="032A2474" w14:textId="77777777" w:rsidR="00282A09" w:rsidRDefault="00282A09" w:rsidP="000938B2">
      <w:pPr>
        <w:spacing w:after="0" w:line="264" w:lineRule="auto"/>
        <w:jc w:val="both"/>
        <w:rPr>
          <w:rFonts w:ascii="Times New Roman" w:hAnsi="Times New Roman"/>
          <w:b/>
          <w:sz w:val="24"/>
          <w:szCs w:val="24"/>
        </w:rPr>
      </w:pPr>
    </w:p>
    <w:p w14:paraId="5E4B018F" w14:textId="77777777" w:rsidR="00282A09" w:rsidRPr="00D92126" w:rsidRDefault="00282A09" w:rsidP="000938B2">
      <w:pPr>
        <w:spacing w:after="0" w:line="264" w:lineRule="auto"/>
        <w:jc w:val="both"/>
        <w:rPr>
          <w:rFonts w:ascii="Times New Roman" w:hAnsi="Times New Roman"/>
          <w:b/>
          <w:sz w:val="24"/>
          <w:szCs w:val="24"/>
        </w:rPr>
      </w:pPr>
    </w:p>
    <w:p w14:paraId="64B2B549" w14:textId="59A3E8F3" w:rsidR="00D92126" w:rsidRPr="00D92126" w:rsidRDefault="00D92126" w:rsidP="000938B2">
      <w:pPr>
        <w:spacing w:after="0" w:line="264" w:lineRule="auto"/>
        <w:jc w:val="center"/>
        <w:rPr>
          <w:rFonts w:ascii="Times New Roman" w:hAnsi="Times New Roman"/>
          <w:sz w:val="24"/>
          <w:szCs w:val="24"/>
        </w:rPr>
      </w:pPr>
      <w:r w:rsidRPr="00D92126">
        <w:rPr>
          <w:rFonts w:ascii="Times New Roman" w:hAnsi="Times New Roman"/>
          <w:b/>
          <w:sz w:val="24"/>
          <w:szCs w:val="24"/>
        </w:rPr>
        <w:t>Dotčená ustanovení ve znění komplexního pozměňovacího návrhu s vyznačením navrhovaných změn</w:t>
      </w:r>
    </w:p>
    <w:p w14:paraId="2413B74E" w14:textId="77777777" w:rsidR="00D92126" w:rsidRPr="00282A09" w:rsidRDefault="00D92126" w:rsidP="000938B2">
      <w:pPr>
        <w:spacing w:after="0" w:line="264" w:lineRule="auto"/>
        <w:jc w:val="both"/>
        <w:rPr>
          <w:rFonts w:ascii="Times New Roman" w:hAnsi="Times New Roman"/>
          <w:sz w:val="24"/>
          <w:szCs w:val="24"/>
        </w:rPr>
      </w:pPr>
    </w:p>
    <w:p w14:paraId="5B9AD97D" w14:textId="200E3AB5" w:rsidR="00282A09" w:rsidRDefault="00282A09" w:rsidP="000938B2">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bookmarkStart w:id="3" w:name="_Hlk180422953"/>
      <w:r w:rsidRPr="00282A09">
        <w:rPr>
          <w:rFonts w:ascii="Times New Roman" w:eastAsia="Aptos" w:hAnsi="Times New Roman" w:cs="Times New Roman"/>
          <w:kern w:val="2"/>
          <w:sz w:val="24"/>
          <w:szCs w:val="24"/>
          <w:lang w:eastAsia="en-US" w:bidi="ar-SA"/>
          <w14:ligatures w14:val="standardContextual"/>
        </w:rPr>
        <w:t xml:space="preserve">Černě </w:t>
      </w:r>
      <w:r w:rsidRPr="00282A09">
        <w:rPr>
          <w:rFonts w:ascii="Times New Roman" w:eastAsia="Aptos" w:hAnsi="Times New Roman" w:cs="Times New Roman"/>
          <w:b/>
          <w:bCs/>
          <w:kern w:val="2"/>
          <w:sz w:val="24"/>
          <w:szCs w:val="24"/>
          <w:lang w:eastAsia="en-US" w:bidi="ar-SA"/>
          <w14:ligatures w14:val="standardContextual"/>
        </w:rPr>
        <w:t>tučně</w:t>
      </w:r>
      <w:r w:rsidRPr="00282A09">
        <w:rPr>
          <w:rFonts w:ascii="Times New Roman" w:eastAsia="Aptos" w:hAnsi="Times New Roman" w:cs="Times New Roman"/>
          <w:kern w:val="2"/>
          <w:sz w:val="24"/>
          <w:szCs w:val="24"/>
          <w:lang w:eastAsia="en-US" w:bidi="ar-SA"/>
          <w14:ligatures w14:val="standardContextual"/>
        </w:rPr>
        <w:t>/</w:t>
      </w:r>
      <w:proofErr w:type="spellStart"/>
      <w:r w:rsidRPr="00282A09">
        <w:rPr>
          <w:rFonts w:ascii="Times New Roman" w:eastAsia="Aptos" w:hAnsi="Times New Roman" w:cs="Times New Roman"/>
          <w:strike/>
          <w:kern w:val="2"/>
          <w:sz w:val="24"/>
          <w:szCs w:val="24"/>
          <w:lang w:eastAsia="en-US" w:bidi="ar-SA"/>
          <w14:ligatures w14:val="standardContextual"/>
        </w:rPr>
        <w:t>přeškrtnutě</w:t>
      </w:r>
      <w:proofErr w:type="spellEnd"/>
      <w:r w:rsidRPr="00282A09">
        <w:rPr>
          <w:rFonts w:ascii="Times New Roman" w:eastAsia="Aptos" w:hAnsi="Times New Roman" w:cs="Times New Roman"/>
          <w:kern w:val="2"/>
          <w:sz w:val="24"/>
          <w:szCs w:val="24"/>
          <w:lang w:eastAsia="en-US" w:bidi="ar-SA"/>
          <w14:ligatures w14:val="standardContextual"/>
        </w:rPr>
        <w:t xml:space="preserve"> vyznačeny změny obsažené v komplexním PN, </w:t>
      </w:r>
      <w:r w:rsidRPr="00282A09">
        <w:rPr>
          <w:rFonts w:ascii="Times New Roman" w:eastAsia="Aptos" w:hAnsi="Times New Roman" w:cs="Times New Roman"/>
          <w:color w:val="0070C0"/>
          <w:kern w:val="2"/>
          <w:sz w:val="24"/>
          <w:szCs w:val="24"/>
          <w:lang w:eastAsia="en-US" w:bidi="ar-SA"/>
          <w14:ligatures w14:val="standardContextual"/>
        </w:rPr>
        <w:t xml:space="preserve">modře </w:t>
      </w:r>
      <w:r w:rsidRPr="00282A09">
        <w:rPr>
          <w:rFonts w:ascii="Times New Roman" w:eastAsia="Aptos" w:hAnsi="Times New Roman" w:cs="Times New Roman"/>
          <w:b/>
          <w:bCs/>
          <w:color w:val="0070C0"/>
          <w:kern w:val="2"/>
          <w:sz w:val="24"/>
          <w:szCs w:val="24"/>
          <w:lang w:eastAsia="en-US" w:bidi="ar-SA"/>
          <w14:ligatures w14:val="standardContextual"/>
        </w:rPr>
        <w:t>tučně</w:t>
      </w:r>
      <w:r w:rsidRPr="00282A09">
        <w:rPr>
          <w:rFonts w:ascii="Times New Roman" w:eastAsia="Aptos" w:hAnsi="Times New Roman" w:cs="Times New Roman"/>
          <w:color w:val="0070C0"/>
          <w:kern w:val="2"/>
          <w:sz w:val="24"/>
          <w:szCs w:val="24"/>
          <w:lang w:eastAsia="en-US" w:bidi="ar-SA"/>
          <w14:ligatures w14:val="standardContextual"/>
        </w:rPr>
        <w:t>/</w:t>
      </w:r>
      <w:proofErr w:type="spellStart"/>
      <w:r w:rsidRPr="00282A09">
        <w:rPr>
          <w:rFonts w:ascii="Times New Roman" w:eastAsia="Aptos" w:hAnsi="Times New Roman" w:cs="Times New Roman"/>
          <w:strike/>
          <w:color w:val="0070C0"/>
          <w:kern w:val="2"/>
          <w:sz w:val="24"/>
          <w:szCs w:val="24"/>
          <w:lang w:eastAsia="en-US" w:bidi="ar-SA"/>
          <w14:ligatures w14:val="standardContextual"/>
        </w:rPr>
        <w:t>přeškrtnutě</w:t>
      </w:r>
      <w:proofErr w:type="spellEnd"/>
      <w:r w:rsidRPr="00282A09">
        <w:rPr>
          <w:rFonts w:ascii="Times New Roman" w:eastAsia="Aptos" w:hAnsi="Times New Roman" w:cs="Times New Roman"/>
          <w:kern w:val="2"/>
          <w:sz w:val="24"/>
          <w:szCs w:val="24"/>
          <w:lang w:eastAsia="en-US" w:bidi="ar-SA"/>
          <w14:ligatures w14:val="standardContextual"/>
        </w:rPr>
        <w:t xml:space="preserve"> změny obsažené v tomto PN (</w:t>
      </w:r>
      <w:r w:rsidRPr="00282A09">
        <w:rPr>
          <w:rFonts w:ascii="Times New Roman" w:eastAsia="Aptos" w:hAnsi="Times New Roman" w:cs="Times New Roman"/>
          <w:color w:val="0070C0"/>
          <w:kern w:val="2"/>
          <w:sz w:val="24"/>
          <w:szCs w:val="24"/>
          <w:lang w:eastAsia="en-US" w:bidi="ar-SA"/>
          <w14:ligatures w14:val="standardContextual"/>
        </w:rPr>
        <w:t xml:space="preserve">modře </w:t>
      </w:r>
      <w:r w:rsidRPr="00282A09">
        <w:rPr>
          <w:rFonts w:ascii="Times New Roman" w:eastAsia="Aptos" w:hAnsi="Times New Roman" w:cs="Times New Roman"/>
          <w:b/>
          <w:bCs/>
          <w:strike/>
          <w:color w:val="0070C0"/>
          <w:kern w:val="2"/>
          <w:sz w:val="24"/>
          <w:szCs w:val="24"/>
          <w:lang w:eastAsia="en-US" w:bidi="ar-SA"/>
          <w14:ligatures w14:val="standardContextual"/>
        </w:rPr>
        <w:t xml:space="preserve">tučně a </w:t>
      </w:r>
      <w:proofErr w:type="spellStart"/>
      <w:r w:rsidRPr="00282A09">
        <w:rPr>
          <w:rFonts w:ascii="Times New Roman" w:eastAsia="Aptos" w:hAnsi="Times New Roman" w:cs="Times New Roman"/>
          <w:b/>
          <w:bCs/>
          <w:strike/>
          <w:color w:val="0070C0"/>
          <w:kern w:val="2"/>
          <w:sz w:val="24"/>
          <w:szCs w:val="24"/>
          <w:lang w:eastAsia="en-US" w:bidi="ar-SA"/>
          <w14:ligatures w14:val="standardContextual"/>
        </w:rPr>
        <w:t>přeškrtnutě</w:t>
      </w:r>
      <w:proofErr w:type="spellEnd"/>
      <w:r w:rsidRPr="00282A09">
        <w:rPr>
          <w:rFonts w:ascii="Times New Roman" w:eastAsia="Aptos" w:hAnsi="Times New Roman" w:cs="Times New Roman"/>
          <w:kern w:val="2"/>
          <w:sz w:val="24"/>
          <w:szCs w:val="24"/>
          <w:lang w:eastAsia="en-US" w:bidi="ar-SA"/>
          <w14:ligatures w14:val="standardContextual"/>
        </w:rPr>
        <w:t>, pokud je text zaváděný komplexním PN tímto PN rušen či nahrazován)</w:t>
      </w:r>
      <w:bookmarkStart w:id="4" w:name="_Toc214619359"/>
      <w:bookmarkStart w:id="5" w:name="_Toc216434392"/>
      <w:bookmarkEnd w:id="3"/>
    </w:p>
    <w:p w14:paraId="041B9EB0" w14:textId="77777777" w:rsidR="00282A09" w:rsidRPr="00282A09" w:rsidRDefault="00282A09" w:rsidP="000938B2">
      <w:pPr>
        <w:suppressAutoHyphens w:val="0"/>
        <w:spacing w:after="0" w:line="264" w:lineRule="auto"/>
        <w:jc w:val="both"/>
        <w:rPr>
          <w:rFonts w:ascii="Times New Roman" w:eastAsia="Aptos" w:hAnsi="Times New Roman" w:cs="Times New Roman"/>
          <w:kern w:val="2"/>
          <w:sz w:val="24"/>
          <w:szCs w:val="24"/>
          <w:lang w:eastAsia="en-US" w:bidi="ar-SA"/>
          <w14:ligatures w14:val="standardContextual"/>
        </w:rPr>
      </w:pPr>
    </w:p>
    <w:bookmarkEnd w:id="4"/>
    <w:bookmarkEnd w:id="5"/>
    <w:p w14:paraId="5E967962" w14:textId="77777777" w:rsidR="00282A09" w:rsidRPr="00282A09" w:rsidRDefault="00282A09" w:rsidP="000938B2">
      <w:pPr>
        <w:suppressAutoHyphens w:val="0"/>
        <w:spacing w:after="0" w:line="264" w:lineRule="auto"/>
        <w:jc w:val="center"/>
        <w:rPr>
          <w:rFonts w:ascii="Times New Roman" w:eastAsia="Aptos" w:hAnsi="Times New Roman" w:cs="Times New Roman"/>
          <w:b/>
          <w:bCs/>
          <w:kern w:val="2"/>
          <w:sz w:val="24"/>
          <w:szCs w:val="24"/>
          <w:lang w:eastAsia="en-US" w:bidi="ar-SA"/>
          <w14:ligatures w14:val="standardContextual"/>
        </w:rPr>
      </w:pPr>
      <w:r w:rsidRPr="00282A09">
        <w:rPr>
          <w:rFonts w:ascii="Times New Roman" w:eastAsia="Aptos" w:hAnsi="Times New Roman" w:cs="Times New Roman"/>
          <w:b/>
          <w:bCs/>
          <w:kern w:val="2"/>
          <w:sz w:val="24"/>
          <w:szCs w:val="24"/>
          <w:lang w:eastAsia="en-US" w:bidi="ar-SA"/>
          <w14:ligatures w14:val="standardContextual"/>
        </w:rPr>
        <w:t xml:space="preserve">Zákon č. 334/1992 Sb., </w:t>
      </w:r>
    </w:p>
    <w:p w14:paraId="2FAEC70A" w14:textId="40D3FFEF" w:rsidR="00282A09" w:rsidRPr="00282A09" w:rsidRDefault="00282A09" w:rsidP="000938B2">
      <w:pPr>
        <w:suppressAutoHyphens w:val="0"/>
        <w:spacing w:after="0" w:line="264" w:lineRule="auto"/>
        <w:jc w:val="center"/>
        <w:rPr>
          <w:rFonts w:ascii="Times New Roman" w:hAnsi="Times New Roman" w:cs="Times New Roman"/>
          <w:b/>
          <w:bCs/>
          <w:kern w:val="2"/>
          <w:sz w:val="24"/>
          <w:szCs w:val="24"/>
          <w:lang w:eastAsia="en-US" w:bidi="ar-SA"/>
          <w14:ligatures w14:val="standardContextual"/>
        </w:rPr>
      </w:pPr>
      <w:r w:rsidRPr="00282A09">
        <w:rPr>
          <w:rFonts w:ascii="Times New Roman" w:eastAsia="Aptos" w:hAnsi="Times New Roman" w:cs="Times New Roman"/>
          <w:b/>
          <w:bCs/>
          <w:kern w:val="2"/>
          <w:sz w:val="24"/>
          <w:szCs w:val="24"/>
          <w:lang w:eastAsia="en-US" w:bidi="ar-SA"/>
          <w14:ligatures w14:val="standardContextual"/>
        </w:rPr>
        <w:t>o ochraně zemědělského půdního fondu</w:t>
      </w:r>
      <w:r w:rsidRPr="00282A09">
        <w:rPr>
          <w:rFonts w:ascii="Times New Roman" w:hAnsi="Times New Roman" w:cs="Times New Roman"/>
          <w:b/>
          <w:bCs/>
          <w:kern w:val="2"/>
          <w:sz w:val="24"/>
          <w:szCs w:val="24"/>
          <w:lang w:eastAsia="en-US" w:bidi="ar-SA"/>
          <w14:ligatures w14:val="standardContextual"/>
        </w:rPr>
        <w:t xml:space="preserve"> </w:t>
      </w:r>
    </w:p>
    <w:p w14:paraId="5F1697CF" w14:textId="77777777" w:rsidR="00282A09" w:rsidRPr="00282A09" w:rsidRDefault="00282A09" w:rsidP="000938B2">
      <w:pPr>
        <w:suppressAutoHyphens w:val="0"/>
        <w:spacing w:after="0" w:line="264" w:lineRule="auto"/>
        <w:jc w:val="center"/>
        <w:rPr>
          <w:rFonts w:ascii="Times New Roman" w:hAnsi="Times New Roman" w:cs="Times New Roman"/>
          <w:kern w:val="2"/>
          <w:sz w:val="24"/>
          <w:szCs w:val="24"/>
          <w:lang w:eastAsia="en-US" w:bidi="ar-SA"/>
          <w14:ligatures w14:val="standardContextual"/>
        </w:rPr>
      </w:pPr>
      <w:r w:rsidRPr="00282A09">
        <w:rPr>
          <w:rFonts w:ascii="Times New Roman" w:hAnsi="Times New Roman" w:cs="Times New Roman"/>
          <w:kern w:val="2"/>
          <w:sz w:val="24"/>
          <w:szCs w:val="24"/>
          <w:lang w:eastAsia="en-US" w:bidi="ar-SA"/>
          <w14:ligatures w14:val="standardContextual"/>
        </w:rPr>
        <w:t>…</w:t>
      </w:r>
    </w:p>
    <w:p w14:paraId="00CABD7D" w14:textId="77777777" w:rsidR="00282A09" w:rsidRPr="00282A09" w:rsidRDefault="00282A09" w:rsidP="000938B2">
      <w:pPr>
        <w:suppressAutoHyphens w:val="0"/>
        <w:spacing w:after="0" w:line="264" w:lineRule="auto"/>
        <w:jc w:val="center"/>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lastRenderedPageBreak/>
        <w:t>§ 4</w:t>
      </w:r>
    </w:p>
    <w:p w14:paraId="7CD41D5A" w14:textId="77777777" w:rsidR="00282A09" w:rsidRPr="00282A09" w:rsidRDefault="00282A09" w:rsidP="000938B2">
      <w:pPr>
        <w:suppressAutoHyphens w:val="0"/>
        <w:spacing w:after="0" w:line="264" w:lineRule="auto"/>
        <w:jc w:val="center"/>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Zásady ochrany</w:t>
      </w:r>
    </w:p>
    <w:p w14:paraId="707707B2" w14:textId="77777777" w:rsidR="00282A09" w:rsidRP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 xml:space="preserve">(1) Pro nezemědělské účely je nutno použít především nezemědělskou půdu, nezastavěné a nedostatečně využité pozemky v </w:t>
      </w:r>
      <w:r w:rsidRPr="00282A09">
        <w:rPr>
          <w:rFonts w:ascii="Times New Roman" w:hAnsi="Times New Roman" w:cs="Times New Roman"/>
          <w:bCs/>
          <w:strike/>
          <w:sz w:val="24"/>
          <w:szCs w:val="24"/>
          <w:lang w:eastAsia="en-US" w:bidi="ar-SA"/>
        </w:rPr>
        <w:t>zastavěném</w:t>
      </w:r>
      <w:r w:rsidRPr="00282A09">
        <w:rPr>
          <w:rFonts w:ascii="Times New Roman" w:hAnsi="Times New Roman" w:cs="Times New Roman"/>
          <w:sz w:val="24"/>
          <w:szCs w:val="24"/>
          <w:lang w:eastAsia="en-US" w:bidi="ar-SA"/>
        </w:rPr>
        <w:t xml:space="preserve"> </w:t>
      </w:r>
      <w:r w:rsidRPr="00282A09">
        <w:rPr>
          <w:rFonts w:ascii="Times New Roman" w:hAnsi="Times New Roman" w:cs="Times New Roman"/>
          <w:b/>
          <w:bCs/>
          <w:sz w:val="24"/>
          <w:szCs w:val="24"/>
          <w:lang w:eastAsia="en-US" w:bidi="ar-SA"/>
        </w:rPr>
        <w:t xml:space="preserve">zastavitelném </w:t>
      </w:r>
      <w:r w:rsidRPr="00282A09">
        <w:rPr>
          <w:rFonts w:ascii="Times New Roman" w:hAnsi="Times New Roman" w:cs="Times New Roman"/>
          <w:sz w:val="24"/>
          <w:szCs w:val="24"/>
          <w:lang w:eastAsia="en-US" w:bidi="ar-SA"/>
        </w:rPr>
        <w:t xml:space="preserve">území </w:t>
      </w:r>
      <w:r w:rsidRPr="00282A09">
        <w:rPr>
          <w:rFonts w:ascii="Times New Roman" w:hAnsi="Times New Roman" w:cs="Times New Roman"/>
          <w:bCs/>
          <w:strike/>
          <w:sz w:val="24"/>
          <w:szCs w:val="24"/>
          <w:lang w:eastAsia="en-US" w:bidi="ar-SA"/>
        </w:rPr>
        <w:t>nebo v zastavitelných plochách</w:t>
      </w:r>
      <w:r w:rsidRPr="00282A09">
        <w:rPr>
          <w:rFonts w:ascii="Times New Roman" w:hAnsi="Times New Roman" w:cs="Times New Roman"/>
          <w:sz w:val="24"/>
          <w:szCs w:val="24"/>
          <w:lang w:eastAsia="en-US" w:bidi="ar-SA"/>
        </w:rPr>
        <w:t>, stavební proluky a plochy získané odstraněním na nich umístěných staveb a zařízení. Určit zemědělskou půdu k jinému než zemědělskému účelu v územně plánovací dokumentaci nebo ji odejmout ze zemědělského půdního fondu je možné pouze v nezbytném odůvodněném případě, přičemž je nutno především</w:t>
      </w:r>
    </w:p>
    <w:p w14:paraId="216F22BD"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a) upřednostňovat zemědělskou půdu v plochách a koridorech vymezených pro nezemědělské využití v územně plánovací dokumentaci,</w:t>
      </w:r>
    </w:p>
    <w:p w14:paraId="3F9475DE"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 xml:space="preserve">b) </w:t>
      </w:r>
      <w:r w:rsidRPr="00282A09">
        <w:rPr>
          <w:rFonts w:ascii="Times New Roman" w:hAnsi="Times New Roman" w:cs="Times New Roman"/>
          <w:b/>
          <w:bCs/>
          <w:sz w:val="24"/>
          <w:szCs w:val="24"/>
          <w:lang w:eastAsia="en-US" w:bidi="ar-SA"/>
        </w:rPr>
        <w:t>při určování zemědělské půdy k jinému než zemědělskému účelu v územně plánovací dokumentaci</w:t>
      </w:r>
      <w:r w:rsidRPr="00282A09">
        <w:rPr>
          <w:rFonts w:ascii="Times New Roman" w:hAnsi="Times New Roman" w:cs="Times New Roman"/>
          <w:sz w:val="24"/>
          <w:szCs w:val="24"/>
          <w:lang w:eastAsia="en-US" w:bidi="ar-SA"/>
        </w:rPr>
        <w:t xml:space="preserve"> upřednostňovat zemědělskou půdu v plochách a koridorech navazujících na </w:t>
      </w:r>
      <w:r w:rsidRPr="00282A09">
        <w:rPr>
          <w:rFonts w:ascii="Times New Roman" w:hAnsi="Times New Roman" w:cs="Times New Roman"/>
          <w:bCs/>
          <w:strike/>
          <w:sz w:val="24"/>
          <w:szCs w:val="24"/>
          <w:lang w:eastAsia="en-US" w:bidi="ar-SA"/>
        </w:rPr>
        <w:t>zastavěné</w:t>
      </w:r>
      <w:r w:rsidRPr="00282A09">
        <w:rPr>
          <w:rFonts w:ascii="Times New Roman" w:hAnsi="Times New Roman" w:cs="Times New Roman"/>
          <w:sz w:val="24"/>
          <w:szCs w:val="24"/>
          <w:lang w:eastAsia="en-US" w:bidi="ar-SA"/>
        </w:rPr>
        <w:t xml:space="preserve"> </w:t>
      </w:r>
      <w:r w:rsidRPr="00282A09">
        <w:rPr>
          <w:rFonts w:ascii="Times New Roman" w:hAnsi="Times New Roman" w:cs="Times New Roman"/>
          <w:b/>
          <w:bCs/>
          <w:sz w:val="24"/>
          <w:szCs w:val="24"/>
          <w:lang w:eastAsia="en-US" w:bidi="ar-SA"/>
        </w:rPr>
        <w:t xml:space="preserve">zastavitelné </w:t>
      </w:r>
      <w:r w:rsidRPr="00282A09">
        <w:rPr>
          <w:rFonts w:ascii="Times New Roman" w:hAnsi="Times New Roman" w:cs="Times New Roman"/>
          <w:sz w:val="24"/>
          <w:szCs w:val="24"/>
          <w:lang w:eastAsia="en-US" w:bidi="ar-SA"/>
        </w:rPr>
        <w:t>území,</w:t>
      </w:r>
    </w:p>
    <w:p w14:paraId="3D7A8AE2"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c) upřednostňovat zemědělskou půdu méně kvalitní; kritériem kvality půdy jsou třídy ochrany,</w:t>
      </w:r>
    </w:p>
    <w:p w14:paraId="212ED3A6"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d) co nejméně narušovat organizaci zemědělského půdního fondu a síť zemědělských účelových komunikací a ztěžovat obhospodařování zemědělského půdního fondu,</w:t>
      </w:r>
    </w:p>
    <w:p w14:paraId="1C7A4F17"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e) určovat zemědělskou půdu k jinému než zemědělskému účelu v územně plánovací dokumentaci a odnímat jen nejnutnější plochu zemědělského půdního fondu a po ukončení nezemědělské činnosti upřednostňovat zemědělské využití pozemků,</w:t>
      </w:r>
    </w:p>
    <w:p w14:paraId="1B38D949"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f) upřednostňovat realizaci kapacit podlažní plochy budov ve více podlažích,</w:t>
      </w:r>
    </w:p>
    <w:p w14:paraId="6EF47446"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g) po ukončení povolení nezemědělské činnosti neprodleně provést takovou terénní úpravu, aby dotčená půda mohla být rekultivována a byla způsobilá k plnění dalších funkcí v krajině podle plánu rekultivace, a</w:t>
      </w:r>
    </w:p>
    <w:p w14:paraId="331D8875" w14:textId="77777777" w:rsidR="00282A09" w:rsidRPr="00282A09" w:rsidRDefault="00282A09" w:rsidP="000938B2">
      <w:pPr>
        <w:suppressAutoHyphens w:val="0"/>
        <w:spacing w:after="0" w:line="264" w:lineRule="auto"/>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 xml:space="preserve">h) co nejméně narušovat mimoprodukční funkce půdy v území; mimoprodukční funkce zemědělské půdy jsou zejména funkce filtrační, akumulační a retenční, </w:t>
      </w:r>
      <w:proofErr w:type="spellStart"/>
      <w:r w:rsidRPr="00282A09">
        <w:rPr>
          <w:rFonts w:ascii="Times New Roman" w:hAnsi="Times New Roman" w:cs="Times New Roman"/>
          <w:sz w:val="24"/>
          <w:szCs w:val="24"/>
          <w:lang w:eastAsia="en-US" w:bidi="ar-SA"/>
        </w:rPr>
        <w:t>pufrační</w:t>
      </w:r>
      <w:proofErr w:type="spellEnd"/>
      <w:r w:rsidRPr="00282A09">
        <w:rPr>
          <w:rFonts w:ascii="Times New Roman" w:hAnsi="Times New Roman" w:cs="Times New Roman"/>
          <w:sz w:val="24"/>
          <w:szCs w:val="24"/>
          <w:lang w:eastAsia="en-US" w:bidi="ar-SA"/>
        </w:rPr>
        <w:t>, transformační a asanační, funkce transportní, funkce půdy jako biotopu pro rostliny a živočichy, funkce půdy jako prostředí umožňujícího vznik příslušných biocenóz a dále funkce půdy jakožto stabilizační složky mikroklimatu a environmentální stability krajiny.</w:t>
      </w:r>
    </w:p>
    <w:p w14:paraId="0F08C10E" w14:textId="77777777" w:rsidR="00282A09" w:rsidRP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 xml:space="preserve">(2) Nezbytnost určení zemědělské půdy k </w:t>
      </w:r>
      <w:proofErr w:type="gramStart"/>
      <w:r w:rsidRPr="00282A09">
        <w:rPr>
          <w:rFonts w:ascii="Times New Roman" w:hAnsi="Times New Roman" w:cs="Times New Roman"/>
          <w:sz w:val="24"/>
          <w:szCs w:val="24"/>
          <w:lang w:eastAsia="en-US" w:bidi="ar-SA"/>
        </w:rPr>
        <w:t>jinému</w:t>
      </w:r>
      <w:proofErr w:type="gramEnd"/>
      <w:r w:rsidRPr="00282A09">
        <w:rPr>
          <w:rFonts w:ascii="Times New Roman" w:hAnsi="Times New Roman" w:cs="Times New Roman"/>
          <w:sz w:val="24"/>
          <w:szCs w:val="24"/>
          <w:lang w:eastAsia="en-US" w:bidi="ar-SA"/>
        </w:rPr>
        <w:t xml:space="preserve"> než zemědělskému účelu je posuzována s ohledem na charakter, přínosy, veřejnou prospěšnost</w:t>
      </w:r>
      <w:r w:rsidRPr="00282A09">
        <w:rPr>
          <w:rFonts w:ascii="Times New Roman" w:hAnsi="Times New Roman" w:cs="Times New Roman"/>
          <w:b/>
          <w:bCs/>
          <w:sz w:val="24"/>
          <w:szCs w:val="24"/>
          <w:lang w:eastAsia="en-US" w:bidi="ar-SA"/>
        </w:rPr>
        <w:t>, veřejný zájem, ekonomické a sociální dopady</w:t>
      </w:r>
      <w:r w:rsidRPr="00282A09">
        <w:rPr>
          <w:rFonts w:ascii="Times New Roman" w:hAnsi="Times New Roman" w:cs="Times New Roman"/>
          <w:sz w:val="24"/>
          <w:szCs w:val="24"/>
          <w:lang w:eastAsia="en-US" w:bidi="ar-SA"/>
        </w:rPr>
        <w:t>, rozsah, umístění a případnou nepřemístitelnost záměru, který se dotýká zemědělského půdního fondu (dále jen „záměr“). Nezbytnost určení je dána zejména v případě neexistence, nevhodnosti nebo nemožnosti využití ploch uvedených v odstavci 1 na území, které záměr svým významem, charakterem a dopadem ovlivňuje.</w:t>
      </w:r>
    </w:p>
    <w:p w14:paraId="5DE2F3AD" w14:textId="77777777" w:rsidR="00282A09" w:rsidRP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 xml:space="preserve">(3) Zemědělskou půdu I. a II. třídy ochrany lze v územně plánovací dokumentaci určit k jinému než zemědělskému účelu nebo odejmout pouze v případech, kdy jiný veřejný zájem výrazně převažuje nad veřejným zájmem ochrany zemědělského půdního fondu. To neplatí, pokud se při změně územně plánovací dokumentace nemění </w:t>
      </w:r>
      <w:r w:rsidRPr="00282A09">
        <w:rPr>
          <w:rFonts w:ascii="Times New Roman" w:hAnsi="Times New Roman" w:cs="Times New Roman"/>
          <w:b/>
          <w:bCs/>
          <w:sz w:val="24"/>
          <w:szCs w:val="24"/>
          <w:lang w:eastAsia="en-US" w:bidi="ar-SA"/>
        </w:rPr>
        <w:t>základní</w:t>
      </w:r>
      <w:r w:rsidRPr="00282A09">
        <w:rPr>
          <w:rFonts w:ascii="Times New Roman" w:hAnsi="Times New Roman" w:cs="Times New Roman"/>
          <w:sz w:val="24"/>
          <w:szCs w:val="24"/>
          <w:lang w:eastAsia="en-US" w:bidi="ar-SA"/>
        </w:rPr>
        <w:t xml:space="preserve"> způsob využití plochy v územně plánovací dokumentaci již vymezené.</w:t>
      </w:r>
    </w:p>
    <w:p w14:paraId="66AB1986" w14:textId="77777777" w:rsidR="00282A09" w:rsidRPr="00282A09" w:rsidRDefault="00282A09" w:rsidP="000938B2">
      <w:pPr>
        <w:widowControl w:val="0"/>
        <w:suppressAutoHyphens w:val="0"/>
        <w:spacing w:after="0" w:line="264" w:lineRule="auto"/>
        <w:ind w:firstLine="709"/>
        <w:jc w:val="both"/>
        <w:rPr>
          <w:rFonts w:ascii="Times New Roman" w:hAnsi="Times New Roman" w:cs="Times New Roman"/>
          <w:b/>
          <w:bCs/>
          <w:strike/>
          <w:sz w:val="24"/>
          <w:szCs w:val="24"/>
          <w:lang w:eastAsia="en-US" w:bidi="ar-SA"/>
        </w:rPr>
      </w:pPr>
      <w:r w:rsidRPr="00282A09">
        <w:rPr>
          <w:rFonts w:ascii="Times New Roman" w:hAnsi="Times New Roman" w:cs="Times New Roman"/>
          <w:strike/>
          <w:sz w:val="24"/>
          <w:szCs w:val="24"/>
          <w:lang w:eastAsia="en-US" w:bidi="ar-SA"/>
        </w:rPr>
        <w:t xml:space="preserve">(4) Zemědělskou půdu I. a II. třídy ochrany nelze odejmout ze zemědělského půdního fondu pro záměry pro obchod nebo skladování o rozsahu větším než 1 ha nebo pro záměry energetického zařízení pro přeměnu energie slunečního záření na elektřinu s výjimkou záměrů podle § 8a. </w:t>
      </w:r>
    </w:p>
    <w:p w14:paraId="4CFF162D" w14:textId="77777777" w:rsidR="00282A09" w:rsidRPr="00282A09" w:rsidRDefault="00282A09" w:rsidP="000938B2">
      <w:pPr>
        <w:widowControl w:val="0"/>
        <w:suppressAutoHyphens w:val="0"/>
        <w:spacing w:after="0" w:line="264" w:lineRule="auto"/>
        <w:ind w:firstLine="709"/>
        <w:jc w:val="both"/>
        <w:rPr>
          <w:rFonts w:ascii="Times New Roman" w:hAnsi="Times New Roman" w:cs="Times New Roman"/>
          <w:b/>
          <w:bCs/>
          <w:sz w:val="24"/>
          <w:szCs w:val="24"/>
          <w:lang w:eastAsia="en-US" w:bidi="ar-SA"/>
        </w:rPr>
      </w:pPr>
      <w:r w:rsidRPr="00282A09">
        <w:rPr>
          <w:rFonts w:ascii="Times New Roman" w:hAnsi="Times New Roman" w:cs="Times New Roman"/>
          <w:b/>
          <w:bCs/>
          <w:sz w:val="24"/>
          <w:szCs w:val="24"/>
          <w:lang w:eastAsia="en-US" w:bidi="ar-SA"/>
        </w:rPr>
        <w:t xml:space="preserve">(4) Zemědělskou půdu I. a II. třídy ochrany nelze odejmout ze zemědělského půdního fondu pro záměry pro obchod nebo skladování o rozsahu větším než 1 ha s výjimkou záměrů umístěných do 1 km od staveb nebo tras dálnic, silnic I. třídy, drah, </w:t>
      </w:r>
      <w:r w:rsidRPr="00282A09">
        <w:rPr>
          <w:rFonts w:ascii="Times New Roman" w:hAnsi="Times New Roman" w:cs="Times New Roman"/>
          <w:b/>
          <w:bCs/>
          <w:sz w:val="24"/>
          <w:szCs w:val="24"/>
          <w:lang w:eastAsia="en-US" w:bidi="ar-SA"/>
        </w:rPr>
        <w:lastRenderedPageBreak/>
        <w:t>leteckých staveb nebo vodních cest nebo pro záměry energetického zařízení pro přeměnu energie slunečního záření na elektřinu s výjimkou záměrů podle § 8a</w:t>
      </w:r>
      <w:r w:rsidRPr="00282A09">
        <w:rPr>
          <w:rFonts w:ascii="Aptos" w:eastAsia="Aptos" w:hAnsi="Aptos" w:cs="Arial"/>
          <w:kern w:val="2"/>
          <w:sz w:val="24"/>
          <w:szCs w:val="24"/>
          <w:lang w:eastAsia="en-US" w:bidi="ar-SA"/>
          <w14:ligatures w14:val="standardContextual"/>
        </w:rPr>
        <w:t xml:space="preserve"> </w:t>
      </w:r>
      <w:r w:rsidRPr="00282A09">
        <w:rPr>
          <w:rFonts w:ascii="Times New Roman" w:hAnsi="Times New Roman" w:cs="Times New Roman"/>
          <w:b/>
          <w:bCs/>
          <w:color w:val="0070C0"/>
          <w:sz w:val="24"/>
          <w:szCs w:val="24"/>
          <w:lang w:eastAsia="en-US" w:bidi="ar-SA"/>
        </w:rPr>
        <w:t>a záměrů umisťovaných v nezastavěném území do vzdálenosti 2000 m včetně od vnějšího okraje dálnice, silnice I. třídy, dráhy celostátní nebo regionální</w:t>
      </w:r>
      <w:r w:rsidRPr="00282A09">
        <w:rPr>
          <w:rFonts w:ascii="Times New Roman" w:hAnsi="Times New Roman" w:cs="Times New Roman"/>
          <w:b/>
          <w:bCs/>
          <w:sz w:val="24"/>
          <w:szCs w:val="24"/>
          <w:lang w:eastAsia="en-US" w:bidi="ar-SA"/>
        </w:rPr>
        <w:t>.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710296C9" w14:textId="77777777" w:rsidR="00282A09" w:rsidRP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 xml:space="preserve">(5) Ustanovení odstavce 3 se neuplatní v případě </w:t>
      </w:r>
      <w:r w:rsidRPr="00282A09">
        <w:rPr>
          <w:rFonts w:ascii="Times New Roman" w:hAnsi="Times New Roman" w:cs="Times New Roman"/>
          <w:strike/>
          <w:sz w:val="24"/>
          <w:szCs w:val="24"/>
          <w:lang w:eastAsia="en-US" w:bidi="ar-SA"/>
        </w:rPr>
        <w:t>transformačních a zastavitelných</w:t>
      </w:r>
      <w:r w:rsidRPr="00282A09">
        <w:rPr>
          <w:rFonts w:ascii="Times New Roman" w:hAnsi="Times New Roman" w:cs="Times New Roman"/>
          <w:sz w:val="24"/>
          <w:szCs w:val="24"/>
          <w:lang w:eastAsia="en-US" w:bidi="ar-SA"/>
        </w:rPr>
        <w:t xml:space="preserve"> ploch vymezovaných v územně plánovací dokumentaci určených pro umístění strategické investiční stavby</w:t>
      </w:r>
      <w:r w:rsidRPr="00282A09">
        <w:rPr>
          <w:rFonts w:ascii="Times New Roman" w:hAnsi="Times New Roman" w:cs="Times New Roman"/>
          <w:sz w:val="24"/>
          <w:szCs w:val="24"/>
          <w:vertAlign w:val="superscript"/>
          <w:lang w:eastAsia="en-US" w:bidi="ar-SA"/>
        </w:rPr>
        <w:t>48</w:t>
      </w:r>
      <w:r w:rsidRPr="00282A09">
        <w:rPr>
          <w:rFonts w:ascii="Times New Roman" w:hAnsi="Times New Roman" w:cs="Times New Roman"/>
          <w:sz w:val="24"/>
          <w:szCs w:val="24"/>
          <w:lang w:eastAsia="en-US" w:bidi="ar-SA"/>
        </w:rPr>
        <w:t>. Ustanovení odstavce 4 se neuplatní v případě záměru podle zákona o urychlení výstavby strategicky významné infrastuktury</w:t>
      </w:r>
      <w:r w:rsidRPr="00282A09">
        <w:rPr>
          <w:rFonts w:ascii="Times New Roman" w:hAnsi="Times New Roman" w:cs="Times New Roman"/>
          <w:sz w:val="24"/>
          <w:szCs w:val="24"/>
          <w:vertAlign w:val="superscript"/>
          <w:lang w:eastAsia="en-US" w:bidi="ar-SA"/>
        </w:rPr>
        <w:t>48</w:t>
      </w:r>
      <w:r w:rsidRPr="00282A09">
        <w:rPr>
          <w:rFonts w:ascii="Times New Roman" w:hAnsi="Times New Roman" w:cs="Times New Roman"/>
          <w:sz w:val="24"/>
          <w:szCs w:val="24"/>
          <w:lang w:eastAsia="en-US" w:bidi="ar-SA"/>
        </w:rPr>
        <w:t xml:space="preserve"> a záměru, který slouží převážně uživatelům veřejné dopravní infrastruktury a navazuje na ni.</w:t>
      </w:r>
    </w:p>
    <w:p w14:paraId="0B5F8014" w14:textId="77777777" w:rsid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r w:rsidRPr="00282A09">
        <w:rPr>
          <w:rFonts w:ascii="Times New Roman" w:hAnsi="Times New Roman" w:cs="Times New Roman"/>
          <w:sz w:val="24"/>
          <w:szCs w:val="24"/>
          <w:lang w:eastAsia="en-US" w:bidi="ar-SA"/>
        </w:rPr>
        <w:t>(6) Při odejmutí zemědělské půdy musí být zohledněna a provedena vhodná opatření pro naplnění veřejného zájmu na zadržení vody v krajině.</w:t>
      </w:r>
    </w:p>
    <w:p w14:paraId="43A0F2C0" w14:textId="77777777" w:rsid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p>
    <w:p w14:paraId="6882782A" w14:textId="77777777" w:rsid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p>
    <w:p w14:paraId="364B230D" w14:textId="77777777" w:rsid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p>
    <w:p w14:paraId="560ADABA" w14:textId="77777777" w:rsidR="00282A09" w:rsidRPr="00282A09" w:rsidRDefault="00282A09" w:rsidP="000938B2">
      <w:pPr>
        <w:suppressAutoHyphens w:val="0"/>
        <w:spacing w:after="0" w:line="264" w:lineRule="auto"/>
        <w:ind w:firstLine="709"/>
        <w:jc w:val="both"/>
        <w:rPr>
          <w:rFonts w:ascii="Times New Roman" w:hAnsi="Times New Roman" w:cs="Times New Roman"/>
          <w:sz w:val="24"/>
          <w:szCs w:val="24"/>
          <w:lang w:eastAsia="en-US" w:bidi="ar-SA"/>
        </w:rPr>
      </w:pPr>
    </w:p>
    <w:p w14:paraId="63F95528" w14:textId="3EE3DD33" w:rsidR="00E62695" w:rsidRPr="00282A09" w:rsidRDefault="00F96AA2" w:rsidP="000938B2">
      <w:pPr>
        <w:spacing w:after="0" w:line="264" w:lineRule="auto"/>
        <w:jc w:val="both"/>
        <w:rPr>
          <w:rFonts w:ascii="Times New Roman" w:hAnsi="Times New Roman" w:cs="Times New Roman"/>
          <w:sz w:val="24"/>
          <w:szCs w:val="24"/>
        </w:rPr>
      </w:pPr>
      <w:r w:rsidRPr="00282A09">
        <w:rPr>
          <w:rFonts w:ascii="Times New Roman" w:hAnsi="Times New Roman" w:cs="Times New Roman"/>
          <w:sz w:val="24"/>
          <w:szCs w:val="24"/>
        </w:rPr>
        <w:t xml:space="preserve">V Praze dne </w:t>
      </w:r>
      <w:r w:rsidR="00A40957" w:rsidRPr="00282A09">
        <w:rPr>
          <w:rFonts w:ascii="Times New Roman" w:hAnsi="Times New Roman" w:cs="Times New Roman"/>
          <w:sz w:val="24"/>
          <w:szCs w:val="24"/>
        </w:rPr>
        <w:t>26</w:t>
      </w:r>
      <w:r w:rsidRPr="00282A09">
        <w:rPr>
          <w:rFonts w:ascii="Times New Roman" w:hAnsi="Times New Roman" w:cs="Times New Roman"/>
          <w:sz w:val="24"/>
          <w:szCs w:val="24"/>
        </w:rPr>
        <w:t xml:space="preserve">. </w:t>
      </w:r>
      <w:r w:rsidR="00A40957" w:rsidRPr="00282A09">
        <w:rPr>
          <w:rFonts w:ascii="Times New Roman" w:hAnsi="Times New Roman" w:cs="Times New Roman"/>
          <w:sz w:val="24"/>
          <w:szCs w:val="24"/>
        </w:rPr>
        <w:t>května</w:t>
      </w:r>
      <w:r w:rsidRPr="00282A09">
        <w:rPr>
          <w:rFonts w:ascii="Times New Roman" w:hAnsi="Times New Roman" w:cs="Times New Roman"/>
          <w:sz w:val="24"/>
          <w:szCs w:val="24"/>
        </w:rPr>
        <w:t xml:space="preserve"> 2026</w:t>
      </w:r>
    </w:p>
    <w:p w14:paraId="3BC754D4" w14:textId="77777777" w:rsidR="00E62695" w:rsidRPr="00282A09" w:rsidRDefault="00E62695" w:rsidP="000938B2">
      <w:pPr>
        <w:spacing w:after="0" w:line="264" w:lineRule="auto"/>
        <w:jc w:val="both"/>
        <w:rPr>
          <w:rFonts w:ascii="Times New Roman" w:hAnsi="Times New Roman" w:cs="Times New Roman"/>
          <w:sz w:val="24"/>
          <w:szCs w:val="24"/>
        </w:rPr>
      </w:pPr>
    </w:p>
    <w:p w14:paraId="2CA1BACB" w14:textId="77777777" w:rsidR="00E62695" w:rsidRPr="00282A09" w:rsidRDefault="00E62695" w:rsidP="000938B2">
      <w:pPr>
        <w:spacing w:after="0" w:line="264" w:lineRule="auto"/>
        <w:jc w:val="both"/>
        <w:rPr>
          <w:rFonts w:ascii="Times New Roman" w:hAnsi="Times New Roman" w:cs="Times New Roman"/>
          <w:sz w:val="24"/>
          <w:szCs w:val="24"/>
        </w:rPr>
      </w:pPr>
      <w:r w:rsidRPr="00282A09">
        <w:rPr>
          <w:rFonts w:ascii="Times New Roman" w:hAnsi="Times New Roman" w:cs="Times New Roman"/>
          <w:sz w:val="24"/>
          <w:szCs w:val="24"/>
        </w:rPr>
        <w:t>Karel Haas</w:t>
      </w:r>
    </w:p>
    <w:p w14:paraId="5E9A4A80" w14:textId="77777777" w:rsidR="00865D0A" w:rsidRPr="00282A09" w:rsidRDefault="00865D0A" w:rsidP="000938B2">
      <w:pPr>
        <w:spacing w:after="0" w:line="264" w:lineRule="auto"/>
        <w:jc w:val="both"/>
        <w:rPr>
          <w:rFonts w:ascii="Times New Roman" w:eastAsia="Times New Roman" w:hAnsi="Times New Roman" w:cs="Times New Roman"/>
          <w:sz w:val="24"/>
          <w:szCs w:val="24"/>
          <w:u w:val="single"/>
        </w:rPr>
      </w:pPr>
      <w:r w:rsidRPr="00282A09">
        <w:rPr>
          <w:rFonts w:ascii="Times New Roman" w:hAnsi="Times New Roman" w:cs="Times New Roman"/>
          <w:sz w:val="24"/>
          <w:szCs w:val="24"/>
        </w:rPr>
        <w:t xml:space="preserve">Martin Kupka </w:t>
      </w:r>
    </w:p>
    <w:p w14:paraId="0C8049D1" w14:textId="77777777" w:rsidR="00E62695" w:rsidRPr="00282A09" w:rsidRDefault="00E62695" w:rsidP="000938B2">
      <w:pPr>
        <w:spacing w:after="0" w:line="264" w:lineRule="auto"/>
        <w:jc w:val="both"/>
        <w:rPr>
          <w:rFonts w:ascii="Times New Roman" w:hAnsi="Times New Roman" w:cs="Times New Roman"/>
          <w:sz w:val="24"/>
          <w:szCs w:val="24"/>
        </w:rPr>
      </w:pPr>
      <w:r w:rsidRPr="00282A09">
        <w:rPr>
          <w:rFonts w:ascii="Times New Roman" w:hAnsi="Times New Roman" w:cs="Times New Roman"/>
          <w:sz w:val="24"/>
          <w:szCs w:val="24"/>
        </w:rPr>
        <w:t>Jiří Havránek</w:t>
      </w:r>
    </w:p>
    <w:sectPr w:rsidR="00E62695" w:rsidRPr="00282A09" w:rsidSect="002F3503">
      <w:pgSz w:w="11906" w:h="16838"/>
      <w:pgMar w:top="1417" w:right="1417" w:bottom="1417" w:left="1417" w:header="0" w:footer="0" w:gutter="0"/>
      <w:pgNumType w:start="1"/>
      <w:cols w:space="708"/>
      <w:formProt w:val="0"/>
      <w:docGrid w:linePitch="10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35831E80"/>
    <w:multiLevelType w:val="hybridMultilevel"/>
    <w:tmpl w:val="FFF01E42"/>
    <w:lvl w:ilvl="0" w:tplc="B1E05A26">
      <w:start w:val="1"/>
      <w:numFmt w:val="decimal"/>
      <w:lvlText w:val="%1."/>
      <w:lvlJc w:val="left"/>
      <w:pPr>
        <w:ind w:left="360" w:hanging="360"/>
      </w:pPr>
    </w:lvl>
    <w:lvl w:ilvl="1" w:tplc="04050019">
      <w:start w:val="1"/>
      <w:numFmt w:val="lowerLetter"/>
      <w:lvlText w:val="%2."/>
      <w:lvlJc w:val="left"/>
      <w:pPr>
        <w:ind w:left="1080" w:hanging="360"/>
      </w:pPr>
    </w:lvl>
    <w:lvl w:ilvl="2" w:tplc="0405001B">
      <w:start w:val="1"/>
      <w:numFmt w:val="lowerRoman"/>
      <w:lvlText w:val="%3."/>
      <w:lvlJc w:val="right"/>
      <w:pPr>
        <w:ind w:left="1800" w:hanging="180"/>
      </w:pPr>
    </w:lvl>
    <w:lvl w:ilvl="3" w:tplc="0405000F">
      <w:start w:val="1"/>
      <w:numFmt w:val="decimal"/>
      <w:lvlText w:val="%4."/>
      <w:lvlJc w:val="left"/>
      <w:pPr>
        <w:ind w:left="2520" w:hanging="360"/>
      </w:pPr>
    </w:lvl>
    <w:lvl w:ilvl="4" w:tplc="04050019">
      <w:start w:val="1"/>
      <w:numFmt w:val="lowerLetter"/>
      <w:lvlText w:val="%5."/>
      <w:lvlJc w:val="left"/>
      <w:pPr>
        <w:ind w:left="3240" w:hanging="360"/>
      </w:pPr>
    </w:lvl>
    <w:lvl w:ilvl="5" w:tplc="0405001B">
      <w:start w:val="1"/>
      <w:numFmt w:val="lowerRoman"/>
      <w:lvlText w:val="%6."/>
      <w:lvlJc w:val="right"/>
      <w:pPr>
        <w:ind w:left="3960" w:hanging="180"/>
      </w:pPr>
    </w:lvl>
    <w:lvl w:ilvl="6" w:tplc="0405000F">
      <w:start w:val="1"/>
      <w:numFmt w:val="decimal"/>
      <w:lvlText w:val="%7."/>
      <w:lvlJc w:val="left"/>
      <w:pPr>
        <w:ind w:left="4680" w:hanging="360"/>
      </w:pPr>
    </w:lvl>
    <w:lvl w:ilvl="7" w:tplc="04050019">
      <w:start w:val="1"/>
      <w:numFmt w:val="lowerLetter"/>
      <w:lvlText w:val="%8."/>
      <w:lvlJc w:val="left"/>
      <w:pPr>
        <w:ind w:left="5400" w:hanging="360"/>
      </w:pPr>
    </w:lvl>
    <w:lvl w:ilvl="8" w:tplc="0405001B">
      <w:start w:val="1"/>
      <w:numFmt w:val="lowerRoman"/>
      <w:lvlText w:val="%9."/>
      <w:lvlJc w:val="right"/>
      <w:pPr>
        <w:ind w:left="6120" w:hanging="180"/>
      </w:pPr>
    </w:lvl>
  </w:abstractNum>
  <w:abstractNum w:abstractNumId="4"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5"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6"/>
  </w:num>
  <w:num w:numId="3" w16cid:durableId="926159642">
    <w:abstractNumId w:val="5"/>
  </w:num>
  <w:num w:numId="4" w16cid:durableId="1013724023">
    <w:abstractNumId w:val="4"/>
  </w:num>
  <w:num w:numId="5" w16cid:durableId="762189207">
    <w:abstractNumId w:val="2"/>
  </w:num>
  <w:num w:numId="6" w16cid:durableId="2094205377">
    <w:abstractNumId w:val="1"/>
  </w:num>
  <w:num w:numId="7" w16cid:durableId="16788483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51397"/>
    <w:rsid w:val="000601B2"/>
    <w:rsid w:val="000834F2"/>
    <w:rsid w:val="000938B2"/>
    <w:rsid w:val="000945AE"/>
    <w:rsid w:val="000A6FD2"/>
    <w:rsid w:val="000D2CA0"/>
    <w:rsid w:val="000D5878"/>
    <w:rsid w:val="000F1980"/>
    <w:rsid w:val="00136653"/>
    <w:rsid w:val="00160A62"/>
    <w:rsid w:val="00185506"/>
    <w:rsid w:val="001A5E97"/>
    <w:rsid w:val="001F3FC3"/>
    <w:rsid w:val="00207E8E"/>
    <w:rsid w:val="002274C3"/>
    <w:rsid w:val="00246CDA"/>
    <w:rsid w:val="002533CC"/>
    <w:rsid w:val="00282A09"/>
    <w:rsid w:val="00294651"/>
    <w:rsid w:val="002A236B"/>
    <w:rsid w:val="002F3503"/>
    <w:rsid w:val="003313A6"/>
    <w:rsid w:val="00383F41"/>
    <w:rsid w:val="003867EB"/>
    <w:rsid w:val="00390E77"/>
    <w:rsid w:val="003F17FE"/>
    <w:rsid w:val="00421ACF"/>
    <w:rsid w:val="00426154"/>
    <w:rsid w:val="00473338"/>
    <w:rsid w:val="00485102"/>
    <w:rsid w:val="004965EF"/>
    <w:rsid w:val="004B3317"/>
    <w:rsid w:val="004B6659"/>
    <w:rsid w:val="004C5C0D"/>
    <w:rsid w:val="005051CD"/>
    <w:rsid w:val="00515A40"/>
    <w:rsid w:val="00525762"/>
    <w:rsid w:val="0053682A"/>
    <w:rsid w:val="0056788F"/>
    <w:rsid w:val="005710B7"/>
    <w:rsid w:val="00573649"/>
    <w:rsid w:val="00592638"/>
    <w:rsid w:val="005C0C03"/>
    <w:rsid w:val="005F1981"/>
    <w:rsid w:val="005F2E3F"/>
    <w:rsid w:val="0060156B"/>
    <w:rsid w:val="0060450E"/>
    <w:rsid w:val="0065280B"/>
    <w:rsid w:val="00665F11"/>
    <w:rsid w:val="00692302"/>
    <w:rsid w:val="006C632A"/>
    <w:rsid w:val="006C7951"/>
    <w:rsid w:val="006E6DEE"/>
    <w:rsid w:val="0071534F"/>
    <w:rsid w:val="007535CC"/>
    <w:rsid w:val="007541C1"/>
    <w:rsid w:val="00767836"/>
    <w:rsid w:val="00776176"/>
    <w:rsid w:val="00786579"/>
    <w:rsid w:val="007A6DD0"/>
    <w:rsid w:val="007C0AF2"/>
    <w:rsid w:val="008023DD"/>
    <w:rsid w:val="00865D0A"/>
    <w:rsid w:val="008702C1"/>
    <w:rsid w:val="0087572D"/>
    <w:rsid w:val="008F5D54"/>
    <w:rsid w:val="00936FC5"/>
    <w:rsid w:val="009738CA"/>
    <w:rsid w:val="00973F7F"/>
    <w:rsid w:val="009956BD"/>
    <w:rsid w:val="009C5152"/>
    <w:rsid w:val="009C6984"/>
    <w:rsid w:val="009D702B"/>
    <w:rsid w:val="00A12575"/>
    <w:rsid w:val="00A203A4"/>
    <w:rsid w:val="00A25687"/>
    <w:rsid w:val="00A40957"/>
    <w:rsid w:val="00A44D09"/>
    <w:rsid w:val="00A4516B"/>
    <w:rsid w:val="00AA25FE"/>
    <w:rsid w:val="00AD0B2A"/>
    <w:rsid w:val="00AE296D"/>
    <w:rsid w:val="00AF6069"/>
    <w:rsid w:val="00AF6B3C"/>
    <w:rsid w:val="00B25B90"/>
    <w:rsid w:val="00BD0ED8"/>
    <w:rsid w:val="00BF179D"/>
    <w:rsid w:val="00BF71E7"/>
    <w:rsid w:val="00C16E81"/>
    <w:rsid w:val="00C25B4F"/>
    <w:rsid w:val="00C418E1"/>
    <w:rsid w:val="00C57181"/>
    <w:rsid w:val="00C67BE9"/>
    <w:rsid w:val="00C874DA"/>
    <w:rsid w:val="00C94A33"/>
    <w:rsid w:val="00C96991"/>
    <w:rsid w:val="00CB7A6C"/>
    <w:rsid w:val="00CD3F68"/>
    <w:rsid w:val="00D6415A"/>
    <w:rsid w:val="00D67B34"/>
    <w:rsid w:val="00D92126"/>
    <w:rsid w:val="00DC43C8"/>
    <w:rsid w:val="00DC5FE2"/>
    <w:rsid w:val="00DF412E"/>
    <w:rsid w:val="00E37DBC"/>
    <w:rsid w:val="00E62695"/>
    <w:rsid w:val="00E62E18"/>
    <w:rsid w:val="00E70C11"/>
    <w:rsid w:val="00EB6440"/>
    <w:rsid w:val="00EE2C75"/>
    <w:rsid w:val="00EF28DF"/>
    <w:rsid w:val="00F05078"/>
    <w:rsid w:val="00F1798E"/>
    <w:rsid w:val="00F474DB"/>
    <w:rsid w:val="00F7183A"/>
    <w:rsid w:val="00F82175"/>
    <w:rsid w:val="00F96AA2"/>
    <w:rsid w:val="00FA38A5"/>
    <w:rsid w:val="00FB6599"/>
    <w:rsid w:val="00FD340B"/>
    <w:rsid w:val="00FD62BE"/>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2B4"/>
  <w15:chartTrackingRefBased/>
  <w15:docId w15:val="{8CA4348D-7CDC-B842-89C3-09D7F50F5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5098">
      <w:bodyDiv w:val="1"/>
      <w:marLeft w:val="0"/>
      <w:marRight w:val="0"/>
      <w:marTop w:val="0"/>
      <w:marBottom w:val="0"/>
      <w:divBdr>
        <w:top w:val="none" w:sz="0" w:space="0" w:color="auto"/>
        <w:left w:val="none" w:sz="0" w:space="0" w:color="auto"/>
        <w:bottom w:val="none" w:sz="0" w:space="0" w:color="auto"/>
        <w:right w:val="none" w:sz="0" w:space="0" w:color="auto"/>
      </w:divBdr>
    </w:div>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870610982">
      <w:bodyDiv w:val="1"/>
      <w:marLeft w:val="0"/>
      <w:marRight w:val="0"/>
      <w:marTop w:val="0"/>
      <w:marBottom w:val="0"/>
      <w:divBdr>
        <w:top w:val="none" w:sz="0" w:space="0" w:color="auto"/>
        <w:left w:val="none" w:sz="0" w:space="0" w:color="auto"/>
        <w:bottom w:val="none" w:sz="0" w:space="0" w:color="auto"/>
        <w:right w:val="none" w:sz="0" w:space="0" w:color="auto"/>
      </w:divBdr>
    </w:div>
    <w:div w:id="1317733037">
      <w:bodyDiv w:val="1"/>
      <w:marLeft w:val="0"/>
      <w:marRight w:val="0"/>
      <w:marTop w:val="0"/>
      <w:marBottom w:val="0"/>
      <w:divBdr>
        <w:top w:val="none" w:sz="0" w:space="0" w:color="auto"/>
        <w:left w:val="none" w:sz="0" w:space="0" w:color="auto"/>
        <w:bottom w:val="none" w:sz="0" w:space="0" w:color="auto"/>
        <w:right w:val="none" w:sz="0" w:space="0" w:color="auto"/>
      </w:divBdr>
    </w:div>
    <w:div w:id="1337145745">
      <w:bodyDiv w:val="1"/>
      <w:marLeft w:val="0"/>
      <w:marRight w:val="0"/>
      <w:marTop w:val="0"/>
      <w:marBottom w:val="0"/>
      <w:divBdr>
        <w:top w:val="none" w:sz="0" w:space="0" w:color="auto"/>
        <w:left w:val="none" w:sz="0" w:space="0" w:color="auto"/>
        <w:bottom w:val="none" w:sz="0" w:space="0" w:color="auto"/>
        <w:right w:val="none" w:sz="0" w:space="0" w:color="auto"/>
      </w:divBdr>
    </w:div>
    <w:div w:id="1460563202">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547D1-41BD-4441-B3DC-5814E7DD1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1166</Words>
  <Characters>6882</Characters>
  <Application>Microsoft Office Word</Application>
  <DocSecurity>0</DocSecurity>
  <Lines>57</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Matyáš Baloun</dc:creator>
  <cp:keywords/>
  <dc:description/>
  <cp:lastModifiedBy>Mgr. Karel Haas</cp:lastModifiedBy>
  <cp:revision>8</cp:revision>
  <dcterms:created xsi:type="dcterms:W3CDTF">2026-05-26T09:09:00Z</dcterms:created>
  <dcterms:modified xsi:type="dcterms:W3CDTF">2026-05-27T10:36:00Z</dcterms:modified>
</cp:coreProperties>
</file>