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widowControl w:val="0"/>
        <w:spacing w:after="200" w:before="200" w:line="276" w:lineRule="auto"/>
        <w:jc w:val="center"/>
        <w:rPr>
          <w:b w:val="1"/>
          <w:bCs w:val="1"/>
          <w:sz w:val="36"/>
          <w:szCs w:val="36"/>
        </w:rPr>
      </w:pPr>
      <w:bookmarkStart w:colFirst="0" w:colLast="0" w:name="_gjdgxs" w:id="0"/>
      <w:bookmarkEnd w:id="0"/>
      <w:r w:rsidDel="00000000" w:rsidR="00000000" w:rsidRPr="00000000">
        <w:rPr>
          <w:b w:val="1"/>
          <w:bCs w:val="1"/>
          <w:sz w:val="36"/>
          <w:szCs w:val="36"/>
          <w:rtl w:val="0"/>
        </w:rPr>
        <w:t xml:space="preserve">PARLAMENT ČESKÉ REPUBLIKY</w:t>
      </w:r>
    </w:p>
    <w:p w:rsidR="00000000" w:rsidDel="00000000" w:rsidP="00000000" w:rsidRDefault="00000000" w:rsidRPr="00000000" w14:paraId="00000002">
      <w:pPr>
        <w:widowControl w:val="0"/>
        <w:tabs>
          <w:tab w:val="center" w:leader="none" w:pos="4536"/>
          <w:tab w:val="right" w:leader="none" w:pos="9072"/>
        </w:tabs>
        <w:spacing w:after="200" w:before="200" w:line="276" w:lineRule="auto"/>
        <w:rPr>
          <w:b w:val="1"/>
          <w:bCs w:val="1"/>
          <w:sz w:val="36"/>
          <w:szCs w:val="36"/>
        </w:rPr>
      </w:pPr>
      <w:r w:rsidDel="00000000" w:rsidR="00000000" w:rsidRPr="00000000">
        <w:rPr>
          <w:b w:val="1"/>
          <w:bCs w:val="1"/>
          <w:sz w:val="36"/>
          <w:szCs w:val="36"/>
          <w:rtl w:val="0"/>
        </w:rPr>
        <w:tab/>
        <w:t xml:space="preserve">Poslanecká sněmovna</w:t>
        <w:tab/>
      </w:r>
    </w:p>
    <w:p w:rsidR="00000000" w:rsidDel="00000000" w:rsidP="00000000" w:rsidRDefault="00000000" w:rsidRPr="00000000" w14:paraId="00000003">
      <w:pPr>
        <w:widowControl w:val="0"/>
        <w:spacing w:after="200" w:before="200" w:line="276" w:lineRule="auto"/>
        <w:jc w:val="center"/>
        <w:rPr>
          <w:b w:val="1"/>
          <w:bCs w:val="1"/>
          <w:sz w:val="36"/>
          <w:szCs w:val="36"/>
        </w:rPr>
      </w:pPr>
      <w:r w:rsidDel="00000000" w:rsidR="00000000" w:rsidRPr="00000000">
        <w:rPr>
          <w:b w:val="1"/>
          <w:bCs w:val="1"/>
          <w:sz w:val="36"/>
          <w:szCs w:val="36"/>
          <w:rtl w:val="0"/>
        </w:rPr>
        <w:t xml:space="preserve">2026</w:t>
      </w:r>
    </w:p>
    <w:p w:rsidR="00000000" w:rsidDel="00000000" w:rsidP="00000000" w:rsidRDefault="00000000" w:rsidRPr="00000000" w14:paraId="00000004">
      <w:pPr>
        <w:widowControl w:val="0"/>
        <w:spacing w:after="200" w:before="200" w:line="276" w:lineRule="auto"/>
        <w:jc w:val="center"/>
        <w:rPr>
          <w:b w:val="1"/>
          <w:bCs w:val="1"/>
          <w:sz w:val="36"/>
          <w:szCs w:val="36"/>
        </w:rPr>
      </w:pPr>
      <w:r w:rsidDel="00000000" w:rsidR="00000000" w:rsidRPr="00000000">
        <w:rPr>
          <w:b w:val="1"/>
          <w:bCs w:val="1"/>
          <w:sz w:val="36"/>
          <w:szCs w:val="36"/>
          <w:rtl w:val="0"/>
        </w:rPr>
        <w:t xml:space="preserve">X. volební období</w:t>
      </w:r>
    </w:p>
    <w:p w:rsidR="00000000" w:rsidDel="00000000" w:rsidP="00000000" w:rsidRDefault="00000000" w:rsidRPr="00000000" w14:paraId="00000005">
      <w:pPr>
        <w:widowControl w:val="0"/>
        <w:spacing w:after="200" w:before="200" w:line="276" w:lineRule="auto"/>
        <w:jc w:val="center"/>
        <w:rPr>
          <w:b w:val="1"/>
          <w:bCs w:val="1"/>
          <w:sz w:val="28"/>
          <w:szCs w:val="28"/>
        </w:rPr>
      </w:pPr>
      <w:r w:rsidDel="00000000" w:rsidR="00000000" w:rsidRPr="00000000">
        <w:rPr>
          <w:b w:val="1"/>
          <w:bCs w:val="1"/>
          <w:sz w:val="28"/>
          <w:szCs w:val="28"/>
          <w:rtl w:val="0"/>
        </w:rPr>
        <w:t xml:space="preserve">___________________________________________________________</w:t>
      </w:r>
    </w:p>
    <w:p w:rsidR="00000000" w:rsidDel="00000000" w:rsidP="00000000" w:rsidRDefault="00000000" w:rsidRPr="00000000" w14:paraId="00000006">
      <w:pPr>
        <w:widowControl w:val="0"/>
        <w:spacing w:after="200" w:before="200" w:line="276" w:lineRule="auto"/>
        <w:rPr>
          <w:b w:val="1"/>
          <w:bCs w:val="1"/>
          <w:sz w:val="28"/>
          <w:szCs w:val="28"/>
        </w:rPr>
      </w:pPr>
      <w:r w:rsidDel="00000000" w:rsidR="00000000" w:rsidRPr="00000000">
        <w:rPr>
          <w:rtl w:val="0"/>
        </w:rPr>
      </w:r>
    </w:p>
    <w:p w:rsidR="00000000" w:rsidDel="00000000" w:rsidP="00000000" w:rsidRDefault="00000000" w:rsidRPr="00000000" w14:paraId="00000007">
      <w:pPr>
        <w:widowControl w:val="0"/>
        <w:spacing w:after="200" w:before="200" w:line="276" w:lineRule="auto"/>
        <w:jc w:val="center"/>
        <w:rPr>
          <w:sz w:val="28"/>
          <w:szCs w:val="28"/>
        </w:rPr>
      </w:pPr>
      <w:r w:rsidDel="00000000" w:rsidR="00000000" w:rsidRPr="00000000">
        <w:rPr>
          <w:rtl w:val="0"/>
        </w:rPr>
      </w:r>
    </w:p>
    <w:p w:rsidR="00000000" w:rsidDel="00000000" w:rsidP="00000000" w:rsidRDefault="00000000" w:rsidRPr="00000000" w14:paraId="00000008">
      <w:pPr>
        <w:keepNext w:val="1"/>
        <w:keepLines w:val="1"/>
        <w:widowControl w:val="0"/>
        <w:spacing w:after="200" w:before="200" w:line="276" w:lineRule="auto"/>
        <w:jc w:val="center"/>
        <w:rPr>
          <w:b w:val="1"/>
          <w:bCs w:val="1"/>
          <w:sz w:val="32"/>
          <w:szCs w:val="32"/>
        </w:rPr>
      </w:pPr>
      <w:r w:rsidDel="00000000" w:rsidR="00000000" w:rsidRPr="00000000">
        <w:rPr>
          <w:b w:val="1"/>
          <w:bCs w:val="1"/>
          <w:sz w:val="32"/>
          <w:szCs w:val="32"/>
          <w:rtl w:val="0"/>
        </w:rPr>
        <w:t xml:space="preserve">Pozměňovací návrh </w:t>
      </w:r>
    </w:p>
    <w:p w:rsidR="00000000" w:rsidDel="00000000" w:rsidP="00000000" w:rsidRDefault="00000000" w:rsidRPr="00000000" w14:paraId="00000009">
      <w:pPr>
        <w:keepNext w:val="1"/>
        <w:keepLines w:val="1"/>
        <w:widowControl w:val="0"/>
        <w:spacing w:after="200" w:before="200" w:line="276" w:lineRule="auto"/>
        <w:jc w:val="center"/>
        <w:rPr>
          <w:sz w:val="32"/>
          <w:szCs w:val="32"/>
        </w:rPr>
      </w:pPr>
      <w:r w:rsidDel="00000000" w:rsidR="00000000" w:rsidRPr="00000000">
        <w:rPr>
          <w:sz w:val="32"/>
          <w:szCs w:val="32"/>
          <w:rtl w:val="0"/>
        </w:rPr>
        <w:t xml:space="preserve">poslance</w:t>
      </w:r>
    </w:p>
    <w:p w:rsidR="00000000" w:rsidDel="00000000" w:rsidP="00000000" w:rsidRDefault="00000000" w:rsidRPr="00000000" w14:paraId="0000000A">
      <w:pPr>
        <w:keepNext w:val="1"/>
        <w:keepLines w:val="1"/>
        <w:widowControl w:val="0"/>
        <w:spacing w:after="200" w:before="200" w:line="276" w:lineRule="auto"/>
        <w:jc w:val="center"/>
        <w:rPr>
          <w:sz w:val="32"/>
          <w:szCs w:val="32"/>
        </w:rPr>
      </w:pPr>
      <w:r w:rsidDel="00000000" w:rsidR="00000000" w:rsidRPr="00000000">
        <w:rPr>
          <w:sz w:val="32"/>
          <w:szCs w:val="32"/>
          <w:rtl w:val="0"/>
        </w:rPr>
        <w:t xml:space="preserve">Zdeňka Hřiba</w:t>
      </w:r>
    </w:p>
    <w:p w:rsidR="00000000" w:rsidDel="00000000" w:rsidP="00000000" w:rsidRDefault="00000000" w:rsidRPr="00000000" w14:paraId="0000000B">
      <w:pPr>
        <w:widowControl w:val="0"/>
        <w:spacing w:after="200" w:before="200" w:line="276" w:lineRule="auto"/>
        <w:rPr>
          <w:sz w:val="28"/>
          <w:szCs w:val="28"/>
        </w:rPr>
      </w:pPr>
      <w:r w:rsidDel="00000000" w:rsidR="00000000" w:rsidRPr="00000000">
        <w:rPr>
          <w:rtl w:val="0"/>
        </w:rPr>
      </w:r>
    </w:p>
    <w:p w:rsidR="00000000" w:rsidDel="00000000" w:rsidP="00000000" w:rsidRDefault="00000000" w:rsidRPr="00000000" w14:paraId="0000000C">
      <w:pPr>
        <w:spacing w:after="200" w:before="200" w:line="276" w:lineRule="auto"/>
        <w:jc w:val="center"/>
        <w:rPr>
          <w:b w:val="1"/>
          <w:bCs w:val="1"/>
        </w:rPr>
      </w:pPr>
      <w:r w:rsidDel="00000000" w:rsidR="00000000" w:rsidRPr="00000000">
        <w:rPr>
          <w:b w:val="1"/>
          <w:bCs w:val="1"/>
          <w:rtl w:val="0"/>
        </w:rPr>
        <w:t xml:space="preserve">ke komplexnímu pozměňovacímu návrhu uvedenému v usnesení hospodářského výboru č. 55 ze dne 30. dubna 2026 k</w:t>
      </w:r>
    </w:p>
    <w:p w:rsidR="00000000" w:rsidDel="00000000" w:rsidP="00000000" w:rsidRDefault="00000000" w:rsidRPr="00000000" w14:paraId="0000000D">
      <w:pPr>
        <w:spacing w:after="200" w:before="200" w:line="276" w:lineRule="auto"/>
        <w:jc w:val="center"/>
        <w:rPr/>
      </w:pPr>
      <w:r w:rsidDel="00000000" w:rsidR="00000000" w:rsidRPr="00000000">
        <w:rPr>
          <w:rtl w:val="0"/>
        </w:rPr>
      </w:r>
    </w:p>
    <w:p w:rsidR="00000000" w:rsidDel="00000000" w:rsidP="00000000" w:rsidRDefault="00000000" w:rsidRPr="00000000" w14:paraId="0000000E">
      <w:pPr>
        <w:spacing w:after="200" w:before="200" w:line="276" w:lineRule="auto"/>
        <w:jc w:val="center"/>
        <w:rPr/>
      </w:pPr>
      <w:r w:rsidDel="00000000" w:rsidR="00000000" w:rsidRPr="00000000">
        <w:rPr>
          <w:rtl w:val="0"/>
        </w:rPr>
        <w:t xml:space="preserve">[k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w:t>
      </w:r>
    </w:p>
    <w:p w:rsidR="00000000" w:rsidDel="00000000" w:rsidP="00000000" w:rsidRDefault="00000000" w:rsidRPr="00000000" w14:paraId="0000000F">
      <w:pPr>
        <w:spacing w:after="200" w:before="200" w:line="276" w:lineRule="auto"/>
        <w:jc w:val="both"/>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010">
      <w:pPr>
        <w:spacing w:after="200" w:before="200" w:line="276" w:lineRule="auto"/>
        <w:jc w:val="center"/>
        <w:rPr>
          <w:b w:val="1"/>
          <w:bCs w:val="1"/>
          <w:sz w:val="40"/>
          <w:szCs w:val="40"/>
        </w:rPr>
      </w:pPr>
      <w:r w:rsidDel="00000000" w:rsidR="00000000" w:rsidRPr="00000000">
        <w:rPr>
          <w:b w:val="1"/>
          <w:bCs w:val="1"/>
          <w:sz w:val="40"/>
          <w:szCs w:val="40"/>
          <w:rtl w:val="0"/>
        </w:rPr>
        <w:t xml:space="preserve">ST 67/11</w:t>
      </w:r>
    </w:p>
    <w:p w:rsidR="00000000" w:rsidDel="00000000" w:rsidP="00000000" w:rsidRDefault="00000000" w:rsidRPr="00000000" w14:paraId="00000011">
      <w:pPr>
        <w:widowControl w:val="0"/>
        <w:spacing w:after="200" w:before="200" w:line="276" w:lineRule="auto"/>
        <w:rPr>
          <w:b w:val="1"/>
          <w:bCs w:val="1"/>
        </w:rPr>
      </w:pPr>
      <w:r w:rsidDel="00000000" w:rsidR="00000000" w:rsidRPr="00000000">
        <w:rPr>
          <w:rtl w:val="0"/>
        </w:rPr>
      </w:r>
    </w:p>
    <w:p w:rsidR="00000000" w:rsidDel="00000000" w:rsidP="00000000" w:rsidRDefault="00000000" w:rsidRPr="00000000" w14:paraId="00000012">
      <w:pPr>
        <w:widowControl w:val="0"/>
        <w:spacing w:after="200" w:before="200" w:line="276" w:lineRule="auto"/>
        <w:rPr>
          <w:b w:val="1"/>
          <w:bCs w:val="1"/>
        </w:rPr>
      </w:pPr>
      <w:r w:rsidDel="00000000" w:rsidR="00000000" w:rsidRPr="00000000">
        <w:rPr>
          <w:rtl w:val="0"/>
        </w:rPr>
      </w:r>
    </w:p>
    <w:p w:rsidR="00000000" w:rsidDel="00000000" w:rsidP="00000000" w:rsidRDefault="00000000" w:rsidRPr="00000000" w14:paraId="00000013">
      <w:pPr>
        <w:widowControl w:val="0"/>
        <w:spacing w:after="200" w:before="200" w:line="276" w:lineRule="auto"/>
        <w:jc w:val="both"/>
        <w:rPr>
          <w:b w:val="1"/>
          <w:bCs w:val="1"/>
        </w:rPr>
      </w:pPr>
      <w:r w:rsidDel="00000000" w:rsidR="00000000" w:rsidRPr="00000000">
        <w:rPr>
          <w:rtl w:val="0"/>
        </w:rPr>
      </w:r>
    </w:p>
    <w:p w:rsidR="00000000" w:rsidDel="00000000" w:rsidP="00000000" w:rsidRDefault="00000000" w:rsidRPr="00000000" w14:paraId="00000014">
      <w:pPr>
        <w:widowControl w:val="0"/>
        <w:spacing w:after="200" w:before="200" w:line="276" w:lineRule="auto"/>
        <w:jc w:val="both"/>
        <w:rPr>
          <w:b w:val="1"/>
          <w:bCs w:val="1"/>
        </w:rPr>
      </w:pPr>
      <w:r w:rsidDel="00000000" w:rsidR="00000000" w:rsidRPr="00000000">
        <w:rPr>
          <w:b w:val="1"/>
          <w:bCs w:val="1"/>
          <w:rtl w:val="0"/>
        </w:rPr>
        <w:t xml:space="preserve">Datum: </w:t>
      </w:r>
      <w:r w:rsidDel="00000000" w:rsidR="00000000" w:rsidRPr="00000000">
        <w:rPr>
          <w:rtl w:val="0"/>
        </w:rPr>
        <w:t xml:space="preserve">27. 5. 2026</w:t>
      </w:r>
      <w:r w:rsidDel="00000000" w:rsidR="00000000" w:rsidRPr="00000000">
        <w:br w:type="page"/>
      </w:r>
      <w:r w:rsidDel="00000000" w:rsidR="00000000" w:rsidRPr="00000000">
        <w:rPr>
          <w:rtl w:val="0"/>
        </w:rPr>
      </w:r>
    </w:p>
    <w:p w:rsidR="00000000" w:rsidDel="00000000" w:rsidP="00000000" w:rsidRDefault="00000000" w:rsidRPr="00000000" w14:paraId="00000015">
      <w:pPr>
        <w:widowControl w:val="0"/>
        <w:spacing w:after="200" w:before="200" w:line="276" w:lineRule="auto"/>
        <w:jc w:val="both"/>
        <w:rPr/>
      </w:pPr>
      <w:r w:rsidDel="00000000" w:rsidR="00000000" w:rsidRPr="00000000">
        <w:rPr>
          <w:rtl w:val="0"/>
        </w:rPr>
        <w:t xml:space="preserve">V části dvacáté deváté v Čl. XLIII k</w:t>
      </w:r>
      <w:r w:rsidDel="00000000" w:rsidR="00000000" w:rsidRPr="00000000">
        <w:rPr>
          <w:rFonts w:ascii="Times New Roman" w:cs="Times New Roman" w:eastAsia="Times New Roman" w:hAnsi="Times New Roman"/>
          <w:b w:val="0"/>
          <w:bCs w:val="0"/>
          <w:i w:val="0"/>
          <w:iCs w:val="0"/>
          <w:sz w:val="24"/>
          <w:szCs w:val="24"/>
          <w:u w:val="none"/>
          <w:rtl w:val="0"/>
        </w:rPr>
        <w:t xml:space="preserve">omplexního pozměňovacího návrhu uveden</w:t>
      </w:r>
      <w:r w:rsidDel="00000000" w:rsidR="00000000" w:rsidRPr="00000000">
        <w:rPr>
          <w:rtl w:val="0"/>
        </w:rPr>
        <w:t xml:space="preserve">ého</w:t>
      </w:r>
      <w:r w:rsidDel="00000000" w:rsidR="00000000" w:rsidRPr="00000000">
        <w:rPr>
          <w:rFonts w:ascii="Times New Roman" w:cs="Times New Roman" w:eastAsia="Times New Roman" w:hAnsi="Times New Roman"/>
          <w:b w:val="0"/>
          <w:bCs w:val="0"/>
          <w:i w:val="0"/>
          <w:iCs w:val="0"/>
          <w:sz w:val="24"/>
          <w:szCs w:val="24"/>
          <w:u w:val="none"/>
          <w:rtl w:val="0"/>
        </w:rPr>
        <w:t xml:space="preserve"> v usnesení hospodářského výboru č. 55 ze dne 30. dubna 2026 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 (sněmovní tisk 67/11),</w:t>
      </w:r>
      <w:r w:rsidDel="00000000" w:rsidR="00000000" w:rsidRPr="00000000">
        <w:rPr>
          <w:rtl w:val="0"/>
        </w:rPr>
        <w:t xml:space="preserve"> se doplňuje bod 5, který zní:</w:t>
      </w:r>
    </w:p>
    <w:p w:rsidR="00000000" w:rsidDel="00000000" w:rsidP="00000000" w:rsidRDefault="00000000" w:rsidRPr="00000000" w14:paraId="00000016">
      <w:pPr>
        <w:widowControl w:val="0"/>
        <w:spacing w:line="276" w:lineRule="auto"/>
        <w:ind w:left="0" w:right="160" w:firstLine="0"/>
        <w:jc w:val="both"/>
        <w:rPr/>
      </w:pPr>
      <w:r w:rsidDel="00000000" w:rsidR="00000000" w:rsidRPr="00000000">
        <w:rPr>
          <w:rtl w:val="0"/>
        </w:rPr>
        <w:t xml:space="preserve">„5. Platnost stanoviska k posouzení vlivů provedení záměru na životní prostředí podle § 10 zákona č. 100/2001 Sb., ve znění účinném do 31. března 2015, nebo závazného stanoviska k posouzení vlivů provedení záměru na životní prostředí podle § 9a zákona č. 100/2001 Sb., ve znění účinném od 1. dubna 2015 do dne nabytí účinnosti tohoto zákona, vydaného pro záměry na území hlavního města Prahy, a to konkrétně Městského okruhu, Libeňské spojky a Radlické radiály přede dnem nabytí účinnosti tohoto zákona lze prodloužit opakovaně.“.</w:t>
      </w:r>
    </w:p>
    <w:p w:rsidR="00000000" w:rsidDel="00000000" w:rsidP="00000000" w:rsidRDefault="00000000" w:rsidRPr="00000000" w14:paraId="00000017">
      <w:pPr>
        <w:widowControl w:val="0"/>
        <w:spacing w:after="200" w:before="200" w:line="276" w:lineRule="auto"/>
        <w:jc w:val="both"/>
        <w:rPr/>
      </w:pPr>
      <w:r w:rsidDel="00000000" w:rsidR="00000000" w:rsidRPr="00000000">
        <w:rPr>
          <w:rtl w:val="0"/>
        </w:rPr>
      </w:r>
    </w:p>
    <w:p w:rsidR="00000000" w:rsidDel="00000000" w:rsidP="00000000" w:rsidRDefault="00000000" w:rsidRPr="00000000" w14:paraId="00000018">
      <w:pPr>
        <w:spacing w:after="200" w:before="200"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200" w:before="20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O d ů v o d n ě n í</w:t>
      </w:r>
      <w:r w:rsidDel="00000000" w:rsidR="00000000" w:rsidRPr="00000000">
        <w:rPr>
          <w:rtl w:val="0"/>
        </w:rPr>
      </w:r>
    </w:p>
    <w:p w:rsidR="00000000" w:rsidDel="00000000" w:rsidP="00000000" w:rsidRDefault="00000000" w:rsidRPr="00000000" w14:paraId="0000001A">
      <w:pPr>
        <w:spacing w:line="276" w:lineRule="auto"/>
        <w:jc w:val="both"/>
        <w:rPr/>
      </w:pPr>
      <w:r w:rsidDel="00000000" w:rsidR="00000000" w:rsidRPr="00000000">
        <w:rPr>
          <w:rtl w:val="0"/>
        </w:rPr>
        <w:t xml:space="preserve">Pozměňovací návrh přebírá věcnou podstatu </w:t>
      </w:r>
      <w:hyperlink r:id="rId6">
        <w:r w:rsidDel="00000000" w:rsidR="00000000" w:rsidRPr="00000000">
          <w:rPr>
            <w:color w:val="1155cc"/>
            <w:u w:val="single"/>
            <w:rtl w:val="0"/>
          </w:rPr>
          <w:t xml:space="preserve">pozměňovacího návrhu</w:t>
        </w:r>
      </w:hyperlink>
      <w:r w:rsidDel="00000000" w:rsidR="00000000" w:rsidRPr="00000000">
        <w:rPr>
          <w:rtl w:val="0"/>
        </w:rPr>
        <w:t xml:space="preserve"> poslance Bohuslava Svobody k vládnímu návrhu zákona, kterým se mění zákon č. 114/1992 Sb., o ochraně přírody a krajiny, ve znění pozdějších předpisů, a další související zákony, projednávanému v minulém volebním období jako </w:t>
      </w:r>
      <w:hyperlink r:id="rId7">
        <w:r w:rsidDel="00000000" w:rsidR="00000000" w:rsidRPr="00000000">
          <w:rPr>
            <w:color w:val="1155cc"/>
            <w:u w:val="single"/>
            <w:rtl w:val="0"/>
          </w:rPr>
          <w:t xml:space="preserve">sněmovní tisk č. 878</w:t>
        </w:r>
      </w:hyperlink>
      <w:r w:rsidDel="00000000" w:rsidR="00000000" w:rsidRPr="00000000">
        <w:rPr>
          <w:rtl w:val="0"/>
        </w:rPr>
        <w:t xml:space="preserve">. Tento pozměňovací návrh byl podle vyjádření Ministerstva životního prostředí načten jako pozměňovací návrh č. 6651 ke sněmovnímu tisku č. 878. Nynější návrh jej věcně přebírá a přizpůsobuje jej procesnímu rámci komplexního pozměňovacího návrhu uvedeného v usnesení hospodářského výboru č. 55 ke sněmovnímu tisku 67/11.</w:t>
      </w:r>
    </w:p>
    <w:p w:rsidR="00000000" w:rsidDel="00000000" w:rsidP="00000000" w:rsidRDefault="00000000" w:rsidRPr="00000000" w14:paraId="0000001B">
      <w:pPr>
        <w:spacing w:line="276" w:lineRule="auto"/>
        <w:jc w:val="both"/>
        <w:rPr/>
      </w:pPr>
      <w:r w:rsidDel="00000000" w:rsidR="00000000" w:rsidRPr="00000000">
        <w:rPr>
          <w:rtl w:val="0"/>
        </w:rPr>
        <w:t xml:space="preserve">Návrh doplňuje do přechodných ustanovení k novele zákona č. 100/2001 Sb., o posuzování vlivů na životní prostředí, zvláštní pravidlo pro opakované prodloužení platnosti stanoviska EIA nebo závazného stanoviska EIA vydaného pro tři konkrétní dopravní stavby na území hlavního města Prahy, a to Městský okruh, Libeňskou spojku a Radlickou radiálu. Nejde tedy o obecnou ani plošnou výjimku pro určitou kategorii pozemních komunikací, ale o úzce vymezené přechodné ustanovení pro konkrétní záměry dopravní infrastruktury mimořádného významu pro hlavní město Prahu.</w:t>
      </w:r>
    </w:p>
    <w:p w:rsidR="00000000" w:rsidDel="00000000" w:rsidP="00000000" w:rsidRDefault="00000000" w:rsidRPr="00000000" w14:paraId="0000001C">
      <w:pPr>
        <w:spacing w:line="276" w:lineRule="auto"/>
        <w:jc w:val="both"/>
        <w:rPr/>
      </w:pPr>
      <w:r w:rsidDel="00000000" w:rsidR="00000000" w:rsidRPr="00000000">
        <w:rPr>
          <w:rtl w:val="0"/>
        </w:rPr>
        <w:t xml:space="preserve">Ministerstvo životního prostředí ve vyjádření z meziresortního připomínkového řízení uvedlo, že nesouhlasí s nesystémovou plošnou výjimkou pro místní komunikace I. třídy. Současně však výslovně připustilo cílenou výjimku pro konkrétní záměry na území hlavního města Prahy, zejména pro Městský okruh, Libeňskou spojku a Radlickou radiálu, a uvedlo, že s takovým postupem jako kompromisem z obsahového hlediska vyslovilo souhlas. Ministerstvo zároveň upozornilo, že původní načtení tohoto návrhu ke sněmovnímu tisku č. 878 nepovažovalo za vhodný legislativní nosič. Předkládaný návrh proto navazuje na obsahově akceptovanou cílenou podobu řešení a zařazuje ji do projednávaného zákona jako vhodnějšího nosiče, který již obsahuje úpravy zákona o posuzování vlivů na životní prostředí a jeho přechodných ustanovení.</w:t>
      </w:r>
    </w:p>
    <w:p w:rsidR="00000000" w:rsidDel="00000000" w:rsidP="00000000" w:rsidRDefault="00000000" w:rsidRPr="00000000" w14:paraId="0000001D">
      <w:pPr>
        <w:spacing w:line="276" w:lineRule="auto"/>
        <w:jc w:val="both"/>
        <w:rPr/>
      </w:pPr>
      <w:r w:rsidDel="00000000" w:rsidR="00000000" w:rsidRPr="00000000">
        <w:rPr>
          <w:rtl w:val="0"/>
        </w:rPr>
        <w:t xml:space="preserve">Návrh je systematicky zařazen do části dvacáté deváté čl. XLIII komplexního pozměňovacího návrhu, tedy mezi přechodná ustanovení k zákonu o posuzování vlivů na životní prostředí. Komplexní pozměňovací návrh již v tomto článku upravuje otázky platnosti závazných stanovisek EIA a jejich dalšího použití v navazujících řízeních. Doplnění zvláštního bodu pro vyjmenované pražské dopravní stavby je proto legislativně-technicky vhodnější než vytváření samostatné nové části zákona.</w:t>
      </w:r>
    </w:p>
    <w:p w:rsidR="00000000" w:rsidDel="00000000" w:rsidP="00000000" w:rsidRDefault="00000000" w:rsidRPr="00000000" w14:paraId="0000001E">
      <w:pPr>
        <w:spacing w:line="276" w:lineRule="auto"/>
        <w:jc w:val="both"/>
        <w:rPr/>
      </w:pPr>
      <w:r w:rsidDel="00000000" w:rsidR="00000000" w:rsidRPr="00000000">
        <w:rPr>
          <w:rtl w:val="0"/>
        </w:rPr>
        <w:t xml:space="preserve">Městský okruh, Libeňská spojka a Radlická radiála jsou záměry zásadní pro funkčnost dopravního systému hlavního města Prahy a širší metropolitní oblasti. Jejich příprava je mimořádně technicky, územně, majetkoprávně a koordinačně náročná. V hustě zastavěném městském prostředí je příprava těchto staveb spojena s rozsáhlými průzkumy, zpracováním odborných podkladů, koordinací s navazující dopravní a technickou infrastrukturou a s vypořádáním významného množství veřejných i soukromých zájmů.</w:t>
      </w:r>
    </w:p>
    <w:p w:rsidR="00000000" w:rsidDel="00000000" w:rsidP="00000000" w:rsidRDefault="00000000" w:rsidRPr="00000000" w14:paraId="0000001F">
      <w:pPr>
        <w:spacing w:line="276" w:lineRule="auto"/>
        <w:jc w:val="both"/>
        <w:rPr/>
      </w:pPr>
      <w:r w:rsidDel="00000000" w:rsidR="00000000" w:rsidRPr="00000000">
        <w:rPr>
          <w:rtl w:val="0"/>
        </w:rPr>
        <w:t xml:space="preserve">U těchto záměrů může obecná časová konstrukce platnosti stanoviska EIA vést k tomu, že stanovisko ztratí platnost nikoliv z důvodu nečinnosti investora, ale v důsledku objektivní délky přípravy a povolování mimořádně složitých městských dopravních staveb. Požadavek na nové posouzení EIA by v takové situaci mohl vést k dalšímu výraznému prodloužení přípravy staveb, které mají zásadní význam pro dopravní obslužnost, odvedení tranzitní a vnitroměstské dopravy z přetížených uličních úseků a celkové fungování města.</w:t>
      </w:r>
    </w:p>
    <w:p w:rsidR="00000000" w:rsidDel="00000000" w:rsidP="00000000" w:rsidRDefault="00000000" w:rsidRPr="00000000" w14:paraId="00000020">
      <w:pPr>
        <w:spacing w:line="276" w:lineRule="auto"/>
        <w:jc w:val="both"/>
        <w:rPr/>
      </w:pPr>
      <w:r w:rsidDel="00000000" w:rsidR="00000000" w:rsidRPr="00000000">
        <w:rPr>
          <w:rtl w:val="0"/>
        </w:rPr>
        <w:t xml:space="preserve">Navrhované pravidlo neznamená automatické prodloužení platnosti stanoviska EIA ani nevylučuje kontrolu jeho aktuálnosti. Zachovává se postup podle zákona o posuzování vlivů na životní prostředí, v němž příslušný úřad posuzuje, zda nedošlo ke změnám podmínek v dotčeném území, změnám poznatků nebo metod posuzování, případně ke změnám záměru, které by vyžadovaly nové posouzení. Návrh pouze umožňuje, aby u výslovně vyjmenovaných záměrů nebylo opakované prodloužení platnosti stanoviska předem vyloučeno.</w:t>
      </w:r>
    </w:p>
    <w:p w:rsidR="00000000" w:rsidDel="00000000" w:rsidP="00000000" w:rsidRDefault="00000000" w:rsidRPr="00000000" w14:paraId="00000021">
      <w:pPr>
        <w:spacing w:line="276" w:lineRule="auto"/>
        <w:jc w:val="both"/>
        <w:rPr/>
      </w:pPr>
      <w:r w:rsidDel="00000000" w:rsidR="00000000" w:rsidRPr="00000000">
        <w:rPr>
          <w:rtl w:val="0"/>
        </w:rPr>
        <w:t xml:space="preserve">Omezení návrhu na Městský okruh, Libeňskou spojku a Radlickou radiálu zajišťuje jeho proporcionalitu a odpovídá připomínce Ministerstva životního prostředí, že případná výjimka má být formulována nikoliv plošně, ale cíleně pro konkrétní stavby. Tím se předchází nežádoucímu rozšíření režimu opakovaného prodlužování platnosti stanovisek EIA na neurčitý a mnohem širší okruh záměrů po celé České republice.</w:t>
      </w:r>
    </w:p>
    <w:p w:rsidR="00000000" w:rsidDel="00000000" w:rsidP="00000000" w:rsidRDefault="00000000" w:rsidRPr="00000000" w14:paraId="00000022">
      <w:pPr>
        <w:spacing w:line="276" w:lineRule="auto"/>
        <w:jc w:val="both"/>
        <w:rPr>
          <w:b w:val="1"/>
          <w:bCs w:val="1"/>
        </w:rPr>
      </w:pPr>
      <w:r w:rsidDel="00000000" w:rsidR="00000000" w:rsidRPr="00000000">
        <w:rPr>
          <w:rtl w:val="0"/>
        </w:rPr>
        <w:t xml:space="preserve">Návrh je věcně související s projednávaným komplexním pozměňovacím návrhem, který mění mimo jiné zákon o posuzování vlivů na životní prostředí a obsahuje úpravy týkající se platnosti závazných stanovisek EIA. Zvolená podoba návrhu je úzká, přechodná a adresná; sleduje stabilizaci přípravy konkrétních dopravních staveb na území hlavního města Prahy, aniž by obecně oslabovala standard posuzování vlivů záměrů na životní prostředí.</w:t>
      </w:r>
      <w:r w:rsidDel="00000000" w:rsidR="00000000" w:rsidRPr="00000000">
        <w:rPr>
          <w:rtl w:val="0"/>
        </w:rPr>
      </w:r>
    </w:p>
    <w:sectPr>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sp.cz/sqw/text/orig2.sqw?idd=253619" TargetMode="External"/><Relationship Id="rId7" Type="http://schemas.openxmlformats.org/officeDocument/2006/relationships/hyperlink" Target="https://www.psp.cz/sqw/historie.sqw?o=9&amp;t=8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