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26F0" w14:textId="77777777" w:rsidR="009B2555" w:rsidRPr="00886F9C" w:rsidRDefault="009B2555" w:rsidP="009B2555">
      <w:pPr>
        <w:jc w:val="center"/>
        <w:rPr>
          <w:rFonts w:ascii="Calibri" w:hAnsi="Calibri" w:cs="Calibri"/>
          <w:b/>
          <w:bCs/>
        </w:rPr>
      </w:pPr>
      <w:r w:rsidRPr="00886F9C">
        <w:rPr>
          <w:rFonts w:ascii="Calibri" w:hAnsi="Calibri" w:cs="Calibri"/>
          <w:b/>
          <w:bCs/>
        </w:rPr>
        <w:t>PARLAMENT ČESKÉ REPUBLIKY</w:t>
      </w:r>
    </w:p>
    <w:p w14:paraId="73D97CA2" w14:textId="77777777" w:rsidR="009B2555" w:rsidRPr="00886F9C" w:rsidRDefault="009B2555" w:rsidP="009B2555">
      <w:pPr>
        <w:jc w:val="center"/>
        <w:rPr>
          <w:rFonts w:ascii="Calibri" w:hAnsi="Calibri" w:cs="Calibri"/>
        </w:rPr>
      </w:pPr>
      <w:r w:rsidRPr="00886F9C">
        <w:rPr>
          <w:rFonts w:ascii="Calibri" w:hAnsi="Calibri" w:cs="Calibri"/>
        </w:rPr>
        <w:t>Poslanecká sněmovna</w:t>
      </w:r>
    </w:p>
    <w:p w14:paraId="798F3C92" w14:textId="77777777" w:rsidR="009B2555" w:rsidRPr="00886F9C" w:rsidRDefault="009B2555" w:rsidP="009B2555">
      <w:pPr>
        <w:jc w:val="center"/>
        <w:rPr>
          <w:rFonts w:ascii="Calibri" w:hAnsi="Calibri" w:cs="Calibri"/>
        </w:rPr>
      </w:pPr>
      <w:r w:rsidRPr="00886F9C">
        <w:rPr>
          <w:rFonts w:ascii="Calibri" w:hAnsi="Calibri" w:cs="Calibri"/>
        </w:rPr>
        <w:t>2026</w:t>
      </w:r>
    </w:p>
    <w:p w14:paraId="0713B8A2" w14:textId="77777777" w:rsidR="009B2555" w:rsidRPr="00886F9C" w:rsidRDefault="009B2555" w:rsidP="009B2555">
      <w:pPr>
        <w:jc w:val="center"/>
        <w:rPr>
          <w:rFonts w:ascii="Calibri" w:hAnsi="Calibri" w:cs="Calibri"/>
        </w:rPr>
      </w:pPr>
      <w:r w:rsidRPr="00886F9C">
        <w:rPr>
          <w:rFonts w:ascii="Calibri" w:hAnsi="Calibri" w:cs="Calibri"/>
        </w:rPr>
        <w:t>X. volební období</w:t>
      </w:r>
    </w:p>
    <w:p w14:paraId="1A9EE19E" w14:textId="77777777" w:rsidR="009B2555" w:rsidRPr="00886F9C" w:rsidRDefault="009B2555" w:rsidP="009B2555">
      <w:pPr>
        <w:pBdr>
          <w:bottom w:val="single" w:sz="6" w:space="1" w:color="auto"/>
        </w:pBdr>
        <w:jc w:val="center"/>
        <w:rPr>
          <w:rFonts w:ascii="Calibri" w:hAnsi="Calibri" w:cs="Calibri"/>
        </w:rPr>
      </w:pPr>
    </w:p>
    <w:p w14:paraId="5C4217CE" w14:textId="77777777" w:rsidR="009B2555" w:rsidRPr="00886F9C" w:rsidRDefault="009B2555" w:rsidP="009B2555">
      <w:pPr>
        <w:rPr>
          <w:rFonts w:ascii="Calibri" w:hAnsi="Calibri" w:cs="Calibri"/>
          <w:b/>
        </w:rPr>
      </w:pPr>
    </w:p>
    <w:p w14:paraId="6E981685" w14:textId="77777777" w:rsidR="009B2555" w:rsidRPr="00886F9C" w:rsidRDefault="009B2555" w:rsidP="009B2555">
      <w:pPr>
        <w:jc w:val="center"/>
        <w:rPr>
          <w:rFonts w:ascii="Calibri" w:hAnsi="Calibri" w:cs="Calibri"/>
          <w:b/>
        </w:rPr>
      </w:pPr>
      <w:r w:rsidRPr="00886F9C">
        <w:rPr>
          <w:rFonts w:ascii="Calibri" w:hAnsi="Calibri" w:cs="Calibri"/>
          <w:b/>
        </w:rPr>
        <w:t xml:space="preserve">Pozměňovací návrh </w:t>
      </w:r>
    </w:p>
    <w:p w14:paraId="4D6AF445" w14:textId="2CD63F05" w:rsidR="009B2555" w:rsidRPr="00886F9C" w:rsidRDefault="009B2555" w:rsidP="009B2555">
      <w:pPr>
        <w:jc w:val="center"/>
        <w:rPr>
          <w:rFonts w:ascii="Calibri" w:hAnsi="Calibri" w:cs="Calibri"/>
          <w:b/>
        </w:rPr>
      </w:pPr>
      <w:r w:rsidRPr="00886F9C">
        <w:rPr>
          <w:rFonts w:ascii="Calibri" w:hAnsi="Calibri" w:cs="Calibri"/>
          <w:b/>
        </w:rPr>
        <w:t>Poslance Libora Vondráčka</w:t>
      </w:r>
    </w:p>
    <w:p w14:paraId="1323F057" w14:textId="77777777" w:rsidR="009B2555" w:rsidRPr="00886F9C" w:rsidRDefault="009B2555" w:rsidP="009B2555">
      <w:pPr>
        <w:jc w:val="center"/>
        <w:rPr>
          <w:rFonts w:ascii="Calibri" w:hAnsi="Calibri" w:cs="Calibri"/>
          <w:b/>
        </w:rPr>
      </w:pPr>
    </w:p>
    <w:p w14:paraId="64C7FCD0" w14:textId="77777777" w:rsidR="009B2555" w:rsidRPr="00886F9C" w:rsidRDefault="009B2555" w:rsidP="009B2555">
      <w:pPr>
        <w:jc w:val="center"/>
        <w:rPr>
          <w:rFonts w:ascii="Calibri" w:hAnsi="Calibri" w:cs="Calibri"/>
          <w:b/>
          <w:noProof/>
        </w:rPr>
      </w:pPr>
      <w:r w:rsidRPr="00886F9C">
        <w:rPr>
          <w:rFonts w:ascii="Calibri" w:hAnsi="Calibri" w:cs="Calibri"/>
          <w:b/>
          <w:noProof/>
        </w:rPr>
        <w:t xml:space="preserve">k návrhu poslanců a poslankyň Andreje Babiše, Karla Havlíčka, Tomia Okamury, Petra Macinky, Aleny Schillerové, Zuzany Schwarz Bařtipánové, Radima Fialy, Borise Šťastného, Vojtěcha Krňanského a Marie Pošarové na vydání zákona, kterým se mění zákona č. 283/2021 Sb., stavební zákon, ve znění pozdějších předpisů, a některé další související zákony, ve znění komplexního pozměňovacího návrhu schváleného </w:t>
      </w:r>
      <w:r w:rsidRPr="00886F9C">
        <w:rPr>
          <w:rFonts w:ascii="Calibri" w:hAnsi="Calibri" w:cs="Calibri"/>
          <w:b/>
          <w:noProof/>
        </w:rPr>
        <w:br/>
        <w:t xml:space="preserve">na 8. schůzi Hospodářského výboru dne 30. dubna 2026  </w:t>
      </w:r>
    </w:p>
    <w:p w14:paraId="5549142E" w14:textId="77777777" w:rsidR="009B2555" w:rsidRPr="00886F9C" w:rsidRDefault="009B2555" w:rsidP="009B2555">
      <w:pPr>
        <w:jc w:val="center"/>
        <w:rPr>
          <w:rFonts w:ascii="Calibri" w:hAnsi="Calibri" w:cs="Calibri"/>
          <w:b/>
          <w:noProof/>
        </w:rPr>
      </w:pPr>
    </w:p>
    <w:p w14:paraId="37CDECE4" w14:textId="77777777" w:rsidR="009B2555" w:rsidRPr="00886F9C" w:rsidRDefault="009B2555" w:rsidP="009B2555">
      <w:pPr>
        <w:jc w:val="center"/>
        <w:rPr>
          <w:rFonts w:ascii="Calibri" w:hAnsi="Calibri" w:cs="Calibri"/>
          <w:b/>
          <w:noProof/>
        </w:rPr>
      </w:pPr>
      <w:r w:rsidRPr="00886F9C">
        <w:rPr>
          <w:rFonts w:ascii="Calibri" w:hAnsi="Calibri" w:cs="Calibri"/>
          <w:b/>
          <w:noProof/>
        </w:rPr>
        <w:t>SNĚMOVNÍ TISK 67 (ve znění sněmévního tisku 67/10)</w:t>
      </w:r>
    </w:p>
    <w:p w14:paraId="56ECEDAE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3883ABEB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456133EE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78F4D2E2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52B56858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48F10F91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07B53C7B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344B3DF4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6F0D5150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19B91564" w14:textId="77777777" w:rsidR="009B2555" w:rsidRPr="00886F9C" w:rsidRDefault="009B2555" w:rsidP="009B255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</w:p>
    <w:p w14:paraId="161191F4" w14:textId="3D5AFA5E" w:rsidR="009B2555" w:rsidRPr="00886F9C" w:rsidRDefault="009B2555" w:rsidP="009B255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886F9C">
        <w:rPr>
          <w:rFonts w:ascii="Calibri" w:eastAsia="Times New Roman" w:hAnsi="Calibri" w:cs="Calibri"/>
          <w:kern w:val="0"/>
          <w:lang w:eastAsia="cs-CZ"/>
          <w14:ligatures w14:val="none"/>
        </w:rPr>
        <w:t xml:space="preserve">Datum </w:t>
      </w:r>
      <w:r w:rsidR="00D82627">
        <w:rPr>
          <w:rFonts w:ascii="Calibri" w:eastAsia="Times New Roman" w:hAnsi="Calibri" w:cs="Calibri"/>
          <w:kern w:val="0"/>
          <w:lang w:eastAsia="cs-CZ"/>
          <w14:ligatures w14:val="none"/>
        </w:rPr>
        <w:t>27.5.2026</w:t>
      </w:r>
    </w:p>
    <w:p w14:paraId="72C34BC3" w14:textId="5275ACF7" w:rsidR="009B2555" w:rsidRPr="00886F9C" w:rsidRDefault="009B2555" w:rsidP="00886F9C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886F9C">
        <w:rPr>
          <w:rFonts w:ascii="Calibri" w:eastAsia="Times New Roman" w:hAnsi="Calibri" w:cs="Calibri"/>
          <w:kern w:val="0"/>
          <w:lang w:eastAsia="cs-CZ"/>
          <w14:ligatures w14:val="none"/>
        </w:rPr>
        <w:lastRenderedPageBreak/>
        <w:t>ČÁST ČTYŘICÁTÁ DRUHÁ</w:t>
      </w:r>
    </w:p>
    <w:p w14:paraId="576DB0B1" w14:textId="14EBCBD3" w:rsidR="009B2555" w:rsidRPr="00886F9C" w:rsidRDefault="009B2555" w:rsidP="00886F9C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886F9C">
        <w:rPr>
          <w:rFonts w:ascii="Calibri" w:eastAsia="Times New Roman" w:hAnsi="Calibri" w:cs="Calibri"/>
          <w:kern w:val="0"/>
          <w:lang w:eastAsia="cs-CZ"/>
          <w14:ligatures w14:val="none"/>
        </w:rPr>
        <w:t>Změna zákona o ochraně ovzduší</w:t>
      </w:r>
    </w:p>
    <w:p w14:paraId="49F7C165" w14:textId="00C9F056" w:rsidR="00886F9C" w:rsidRPr="00886F9C" w:rsidRDefault="00886F9C" w:rsidP="00886F9C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886F9C">
        <w:rPr>
          <w:rFonts w:ascii="Calibri" w:eastAsia="Times New Roman" w:hAnsi="Calibri" w:cs="Calibri"/>
          <w:kern w:val="0"/>
          <w:lang w:eastAsia="cs-CZ"/>
          <w14:ligatures w14:val="none"/>
        </w:rPr>
        <w:t>Čl. LXI</w:t>
      </w:r>
    </w:p>
    <w:p w14:paraId="05EB01B5" w14:textId="5EB6EB10" w:rsidR="00886F9C" w:rsidRPr="00886F9C" w:rsidRDefault="00886F9C" w:rsidP="006D4F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886F9C">
        <w:rPr>
          <w:rFonts w:ascii="Calibri" w:eastAsia="Times New Roman" w:hAnsi="Calibri" w:cs="Calibri"/>
          <w:kern w:val="0"/>
          <w:lang w:eastAsia="cs-CZ"/>
          <w14:ligatures w14:val="none"/>
        </w:rPr>
        <w:t>V článku LXI se doplňuje nový bod 25, kterým se upravuje §25b odst.4 zákona o ochraně ovzduší:</w:t>
      </w:r>
    </w:p>
    <w:p w14:paraId="42136238" w14:textId="445BF292" w:rsidR="00886F9C" w:rsidRPr="00886F9C" w:rsidRDefault="00886F9C" w:rsidP="00886F9C">
      <w:pPr>
        <w:pStyle w:val="Odstavecseseznamem"/>
        <w:numPr>
          <w:ilvl w:val="0"/>
          <w:numId w:val="6"/>
        </w:numPr>
        <w:tabs>
          <w:tab w:val="left" w:pos="567"/>
        </w:tabs>
        <w:spacing w:after="120" w:line="240" w:lineRule="auto"/>
        <w:jc w:val="both"/>
        <w:rPr>
          <w:rFonts w:ascii="Calibri" w:hAnsi="Calibri" w:cs="Calibri"/>
          <w:b/>
          <w:bCs/>
        </w:rPr>
      </w:pPr>
      <w:r w:rsidRPr="00886F9C">
        <w:rPr>
          <w:rFonts w:ascii="Calibri" w:hAnsi="Calibri" w:cs="Calibri"/>
          <w:b/>
          <w:bCs/>
        </w:rPr>
        <w:t xml:space="preserve">Úprava § 25b odst. 4 </w:t>
      </w:r>
    </w:p>
    <w:p w14:paraId="7CABD76E" w14:textId="2F90533C" w:rsidR="00886F9C" w:rsidRPr="00886F9C" w:rsidRDefault="00886F9C" w:rsidP="00886F9C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886F9C">
        <w:rPr>
          <w:rFonts w:ascii="Calibri" w:hAnsi="Calibri" w:cs="Calibri"/>
          <w:sz w:val="22"/>
          <w:szCs w:val="22"/>
        </w:rPr>
        <w:t>Upravený text §25b odst. 4 zní:</w:t>
      </w:r>
    </w:p>
    <w:p w14:paraId="6774960A" w14:textId="757E4EC2" w:rsidR="00886F9C" w:rsidRPr="00886F9C" w:rsidRDefault="00886F9C" w:rsidP="00886F9C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886F9C">
        <w:rPr>
          <w:rFonts w:ascii="Calibri" w:hAnsi="Calibri" w:cs="Calibri"/>
          <w:i/>
          <w:iCs/>
          <w:sz w:val="22"/>
          <w:szCs w:val="22"/>
        </w:rPr>
        <w:t xml:space="preserve">„(4) Za přestupek podle odstavce 1 písm. b) se </w:t>
      </w:r>
      <w:r w:rsidRPr="00886F9C">
        <w:rPr>
          <w:rFonts w:ascii="Calibri" w:hAnsi="Calibri" w:cs="Calibri"/>
          <w:i/>
          <w:iCs/>
          <w:strike/>
          <w:sz w:val="22"/>
          <w:szCs w:val="22"/>
        </w:rPr>
        <w:t>uloží pokuta</w:t>
      </w:r>
      <w:r w:rsidRPr="00886F9C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886F9C">
        <w:rPr>
          <w:rFonts w:ascii="Calibri" w:hAnsi="Calibri" w:cs="Calibri"/>
          <w:b/>
          <w:bCs/>
          <w:i/>
          <w:iCs/>
          <w:sz w:val="22"/>
          <w:szCs w:val="22"/>
        </w:rPr>
        <w:t>vyměří poplatek</w:t>
      </w:r>
      <w:r w:rsidRPr="00886F9C">
        <w:rPr>
          <w:rFonts w:ascii="Calibri" w:hAnsi="Calibri" w:cs="Calibri"/>
          <w:i/>
          <w:iCs/>
          <w:sz w:val="22"/>
          <w:szCs w:val="22"/>
        </w:rPr>
        <w:t>,</w:t>
      </w:r>
      <w:r w:rsidRPr="00886F9C">
        <w:rPr>
          <w:rFonts w:ascii="Calibri" w:hAnsi="Calibri" w:cs="Calibri"/>
          <w:i/>
          <w:iCs/>
          <w:strike/>
          <w:sz w:val="22"/>
          <w:szCs w:val="22"/>
        </w:rPr>
        <w:t xml:space="preserve"> </w:t>
      </w:r>
      <w:proofErr w:type="gramStart"/>
      <w:r w:rsidRPr="00886F9C">
        <w:rPr>
          <w:rFonts w:ascii="Calibri" w:hAnsi="Calibri" w:cs="Calibri"/>
          <w:i/>
          <w:iCs/>
          <w:strike/>
          <w:sz w:val="22"/>
          <w:szCs w:val="22"/>
        </w:rPr>
        <w:t>jejíž</w:t>
      </w:r>
      <w:proofErr w:type="gramEnd"/>
      <w:r w:rsidRPr="00886F9C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886F9C">
        <w:rPr>
          <w:rFonts w:ascii="Calibri" w:hAnsi="Calibri" w:cs="Calibri"/>
          <w:b/>
          <w:bCs/>
          <w:i/>
          <w:iCs/>
          <w:sz w:val="22"/>
          <w:szCs w:val="22"/>
        </w:rPr>
        <w:t>jehož</w:t>
      </w:r>
      <w:r w:rsidRPr="00886F9C">
        <w:rPr>
          <w:rFonts w:ascii="Calibri" w:hAnsi="Calibri" w:cs="Calibri"/>
          <w:i/>
          <w:iCs/>
          <w:sz w:val="22"/>
          <w:szCs w:val="22"/>
        </w:rPr>
        <w:t xml:space="preserve"> výše se stanoví jako součin množství emisí skleníkových plynů v kilogramech, o které nebylo dosaženo požadovaného snížení emisí podle § 20 odst. 1 a částky 10 Kč. </w:t>
      </w:r>
      <w:r w:rsidRPr="00886F9C">
        <w:rPr>
          <w:rFonts w:ascii="Calibri" w:hAnsi="Calibri" w:cs="Calibri"/>
          <w:b/>
          <w:bCs/>
          <w:i/>
          <w:iCs/>
          <w:sz w:val="22"/>
          <w:szCs w:val="22"/>
        </w:rPr>
        <w:t>Poplatek podle tohoto odstavce představuje zákonem předvídaný způsob finančního vypořádání povinnosti podle § 20 a jeho úhrada sama o sobě nezakládá správní delikt ani jiný sankční nebo obdobný následek podle tohoto zákona nebo jiného právního předpisu.</w:t>
      </w:r>
      <w:r w:rsidRPr="00886F9C">
        <w:rPr>
          <w:rFonts w:ascii="Calibri" w:hAnsi="Calibri" w:cs="Calibri"/>
          <w:i/>
          <w:iCs/>
          <w:sz w:val="22"/>
          <w:szCs w:val="22"/>
        </w:rPr>
        <w:t>“</w:t>
      </w:r>
      <w:r w:rsidRPr="00886F9C">
        <w:rPr>
          <w:rFonts w:ascii="Calibri" w:hAnsi="Calibri" w:cs="Calibri"/>
          <w:sz w:val="22"/>
          <w:szCs w:val="22"/>
        </w:rPr>
        <w:t>.</w:t>
      </w:r>
    </w:p>
    <w:p w14:paraId="1786B053" w14:textId="77777777" w:rsidR="00886F9C" w:rsidRDefault="00886F9C" w:rsidP="00886F9C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  <w:u w:val="single"/>
        </w:rPr>
      </w:pPr>
    </w:p>
    <w:p w14:paraId="7EACD9DE" w14:textId="30D9C4A8" w:rsidR="00886F9C" w:rsidRPr="004B279B" w:rsidRDefault="00886F9C" w:rsidP="00886F9C">
      <w:pPr>
        <w:tabs>
          <w:tab w:val="left" w:pos="567"/>
        </w:tabs>
        <w:spacing w:after="12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4B279B">
        <w:rPr>
          <w:rFonts w:ascii="Calibri" w:hAnsi="Calibri" w:cs="Calibri"/>
          <w:b/>
          <w:bCs/>
          <w:sz w:val="22"/>
          <w:szCs w:val="22"/>
          <w:u w:val="single"/>
        </w:rPr>
        <w:t>Odůvodnění</w:t>
      </w:r>
      <w:r w:rsidR="004B279B">
        <w:rPr>
          <w:rFonts w:ascii="Calibri" w:hAnsi="Calibri" w:cs="Calibri"/>
          <w:b/>
          <w:bCs/>
          <w:sz w:val="22"/>
          <w:szCs w:val="22"/>
          <w:u w:val="single"/>
        </w:rPr>
        <w:t>¨- důvodová zpráva</w:t>
      </w:r>
      <w:r w:rsidRPr="004B279B"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70865C09" w14:textId="7E70476C" w:rsidR="004B279B" w:rsidRPr="004B279B" w:rsidRDefault="004B279B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Navrhovaná úprava reaguje na stávající právní konstrukci mechanismu nesplnění minimální úspory emisí skleníkových plynů u dodavatelů vybraných pohonných hmot. Tato povinnost implementuje zejména čl. 25 směrnice Evropského parlamentu a Rady (EU) 2018/2001 (RED II), ve znění směrnice (EU) 2023/2413 (RED III), která ukládá členským státům zajistit, aby dodavatelé paliv dosahovali stanoveného snížení emisí skleníkových plynů (případně podílu energie z obnovitelných zdrojů) v sektoru dopravy.</w:t>
      </w:r>
    </w:p>
    <w:p w14:paraId="6D85B2E3" w14:textId="77777777" w:rsidR="004B279B" w:rsidRPr="001F40A0" w:rsidRDefault="004B279B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b/>
          <w:bCs/>
          <w:sz w:val="22"/>
          <w:szCs w:val="22"/>
        </w:rPr>
      </w:pPr>
      <w:r w:rsidRPr="001F40A0">
        <w:rPr>
          <w:rFonts w:ascii="Calibri" w:hAnsi="Calibri" w:cs="Calibri"/>
          <w:b/>
          <w:bCs/>
          <w:sz w:val="22"/>
          <w:szCs w:val="22"/>
        </w:rPr>
        <w:t>Platná česká úprava spojuje v jednom institutu tři prvky:</w:t>
      </w:r>
    </w:p>
    <w:p w14:paraId="3D2CA4C7" w14:textId="77777777" w:rsidR="004B279B" w:rsidRPr="004B279B" w:rsidRDefault="004B279B" w:rsidP="004B279B">
      <w:pPr>
        <w:numPr>
          <w:ilvl w:val="0"/>
          <w:numId w:val="7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hmotněprávní povinnost dosažení minimální úspory emisí,</w:t>
      </w:r>
    </w:p>
    <w:p w14:paraId="74BA38F0" w14:textId="77777777" w:rsidR="004B279B" w:rsidRPr="004B279B" w:rsidRDefault="004B279B" w:rsidP="004B279B">
      <w:pPr>
        <w:numPr>
          <w:ilvl w:val="0"/>
          <w:numId w:val="7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ekonomický nástroj finančního vypořádání deficitu,</w:t>
      </w:r>
    </w:p>
    <w:p w14:paraId="27273671" w14:textId="77777777" w:rsidR="004B279B" w:rsidRPr="004B279B" w:rsidRDefault="004B279B" w:rsidP="004B279B">
      <w:pPr>
        <w:numPr>
          <w:ilvl w:val="0"/>
          <w:numId w:val="7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režim správního trestání (přestupek).</w:t>
      </w:r>
    </w:p>
    <w:p w14:paraId="26604C38" w14:textId="77777777" w:rsidR="004B279B" w:rsidRPr="004B279B" w:rsidRDefault="004B279B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Tato kumulace vytváří právní nejistotu ohledně povahy institutu a může vyvolávat nepřímé sankční důsledky nad rámec toho, co EU právo vyžaduje.</w:t>
      </w:r>
    </w:p>
    <w:p w14:paraId="5758B88A" w14:textId="77777777" w:rsidR="004B279B" w:rsidRPr="004B279B" w:rsidRDefault="004B279B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b/>
          <w:bCs/>
          <w:sz w:val="22"/>
          <w:szCs w:val="22"/>
        </w:rPr>
        <w:t>Navrhovaná změna je plně v souladu s právem EU z následujících důvodů:</w:t>
      </w:r>
    </w:p>
    <w:p w14:paraId="01AC68D1" w14:textId="77777777" w:rsidR="004B279B" w:rsidRPr="004B279B" w:rsidRDefault="004B279B" w:rsidP="004B279B">
      <w:pPr>
        <w:numPr>
          <w:ilvl w:val="0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b/>
          <w:bCs/>
          <w:sz w:val="22"/>
          <w:szCs w:val="22"/>
        </w:rPr>
        <w:t xml:space="preserve">Nezasahuje do podstaty implementace </w:t>
      </w:r>
      <w:proofErr w:type="spellStart"/>
      <w:r w:rsidRPr="004B279B">
        <w:rPr>
          <w:rFonts w:ascii="Calibri" w:hAnsi="Calibri" w:cs="Calibri"/>
          <w:b/>
          <w:bCs/>
          <w:sz w:val="22"/>
          <w:szCs w:val="22"/>
        </w:rPr>
        <w:t>acquis</w:t>
      </w:r>
      <w:proofErr w:type="spellEnd"/>
      <w:r w:rsidRPr="004B279B">
        <w:rPr>
          <w:rFonts w:ascii="Calibri" w:hAnsi="Calibri" w:cs="Calibri"/>
          <w:b/>
          <w:bCs/>
          <w:sz w:val="22"/>
          <w:szCs w:val="22"/>
        </w:rPr>
        <w:t xml:space="preserve"> EU</w:t>
      </w:r>
      <w:r w:rsidRPr="004B279B">
        <w:rPr>
          <w:rFonts w:ascii="Calibri" w:hAnsi="Calibri" w:cs="Calibri"/>
          <w:sz w:val="22"/>
          <w:szCs w:val="22"/>
        </w:rPr>
        <w:t xml:space="preserve"> Návrh v žádném ohledu nemění:</w:t>
      </w:r>
    </w:p>
    <w:p w14:paraId="4E3DD5DE" w14:textId="77777777" w:rsidR="004B279B" w:rsidRPr="004B279B" w:rsidRDefault="004B279B" w:rsidP="004B279B">
      <w:pPr>
        <w:numPr>
          <w:ilvl w:val="1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samotnou povinnost podle § 20 (transpozice čl. 25 RED II/III),</w:t>
      </w:r>
    </w:p>
    <w:p w14:paraId="35428B7B" w14:textId="77777777" w:rsidR="004B279B" w:rsidRPr="004B279B" w:rsidRDefault="004B279B" w:rsidP="004B279B">
      <w:pPr>
        <w:numPr>
          <w:ilvl w:val="1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metodiku výpočtu emisních úspor a kritéria udržitelnosti,</w:t>
      </w:r>
    </w:p>
    <w:p w14:paraId="54EDB264" w14:textId="77777777" w:rsidR="004B279B" w:rsidRPr="004B279B" w:rsidRDefault="004B279B" w:rsidP="004B279B">
      <w:pPr>
        <w:numPr>
          <w:ilvl w:val="1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systém vykazování a reporting vůči správním orgánům,</w:t>
      </w:r>
    </w:p>
    <w:p w14:paraId="3DE195D2" w14:textId="77777777" w:rsidR="004B279B" w:rsidRPr="004B279B" w:rsidRDefault="004B279B" w:rsidP="004B279B">
      <w:pPr>
        <w:numPr>
          <w:ilvl w:val="1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 xml:space="preserve">výši finančního zatížení (zachovává 10 Kč/kg </w:t>
      </w:r>
      <w:proofErr w:type="spellStart"/>
      <w:r w:rsidRPr="004B279B">
        <w:rPr>
          <w:rFonts w:ascii="Calibri" w:hAnsi="Calibri" w:cs="Calibri"/>
          <w:sz w:val="22"/>
          <w:szCs w:val="22"/>
        </w:rPr>
        <w:t>CO₂eq</w:t>
      </w:r>
      <w:proofErr w:type="spellEnd"/>
      <w:r w:rsidRPr="004B279B">
        <w:rPr>
          <w:rFonts w:ascii="Calibri" w:hAnsi="Calibri" w:cs="Calibri"/>
          <w:sz w:val="22"/>
          <w:szCs w:val="22"/>
        </w:rPr>
        <w:t>),</w:t>
      </w:r>
    </w:p>
    <w:p w14:paraId="123D7DEC" w14:textId="77777777" w:rsidR="004B279B" w:rsidRPr="004B279B" w:rsidRDefault="004B279B" w:rsidP="004B279B">
      <w:pPr>
        <w:numPr>
          <w:ilvl w:val="1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t>zmocnění k vydání prováděcích předpisů.</w:t>
      </w:r>
    </w:p>
    <w:p w14:paraId="5C147809" w14:textId="77777777" w:rsidR="004B279B" w:rsidRPr="004B279B" w:rsidRDefault="004B279B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sz w:val="22"/>
          <w:szCs w:val="22"/>
        </w:rPr>
        <w:lastRenderedPageBreak/>
        <w:t>Cíle a technické parametry systému zůstávají nedotčeny.</w:t>
      </w:r>
    </w:p>
    <w:p w14:paraId="184DDF0B" w14:textId="77777777" w:rsidR="004B279B" w:rsidRPr="004B279B" w:rsidRDefault="004B279B" w:rsidP="004B279B">
      <w:pPr>
        <w:numPr>
          <w:ilvl w:val="0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b/>
          <w:bCs/>
          <w:sz w:val="22"/>
          <w:szCs w:val="22"/>
        </w:rPr>
        <w:t>Splňuje požadavek EU na efektivní, přiměřené a odrazující sankce</w:t>
      </w:r>
      <w:r w:rsidRPr="004B279B">
        <w:rPr>
          <w:rFonts w:ascii="Calibri" w:hAnsi="Calibri" w:cs="Calibri"/>
          <w:sz w:val="22"/>
          <w:szCs w:val="22"/>
        </w:rPr>
        <w:t xml:space="preserve"> Směrnice RED II/III (stejně jako řada dalších environmentálních směrnic) vyžadují, aby členské státy stanovily „efektivní, přiměřené a odrazující sankce“ (</w:t>
      </w:r>
      <w:proofErr w:type="spellStart"/>
      <w:r w:rsidRPr="004B279B">
        <w:rPr>
          <w:rFonts w:ascii="Calibri" w:hAnsi="Calibri" w:cs="Calibri"/>
          <w:sz w:val="22"/>
          <w:szCs w:val="22"/>
        </w:rPr>
        <w:t>effective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B279B">
        <w:rPr>
          <w:rFonts w:ascii="Calibri" w:hAnsi="Calibri" w:cs="Calibri"/>
          <w:sz w:val="22"/>
          <w:szCs w:val="22"/>
        </w:rPr>
        <w:t>proportionate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4B279B">
        <w:rPr>
          <w:rFonts w:ascii="Calibri" w:hAnsi="Calibri" w:cs="Calibri"/>
          <w:sz w:val="22"/>
          <w:szCs w:val="22"/>
        </w:rPr>
        <w:t>dissuasive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B279B">
        <w:rPr>
          <w:rFonts w:ascii="Calibri" w:hAnsi="Calibri" w:cs="Calibri"/>
          <w:sz w:val="22"/>
          <w:szCs w:val="22"/>
        </w:rPr>
        <w:t>penalties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). EU však </w:t>
      </w:r>
      <w:r w:rsidRPr="004B279B">
        <w:rPr>
          <w:rFonts w:ascii="Calibri" w:hAnsi="Calibri" w:cs="Calibri"/>
          <w:b/>
          <w:bCs/>
          <w:sz w:val="22"/>
          <w:szCs w:val="22"/>
        </w:rPr>
        <w:t>nepředepisuje</w:t>
      </w:r>
      <w:r w:rsidRPr="004B279B">
        <w:rPr>
          <w:rFonts w:ascii="Calibri" w:hAnsi="Calibri" w:cs="Calibri"/>
          <w:sz w:val="22"/>
          <w:szCs w:val="22"/>
        </w:rPr>
        <w:t xml:space="preserve"> konkrétní právní formu tohoto nástroje. Členské státy mají značnou flexibilitu při volbě mezi klasickou pokutou za správní delikt a ekonomickým mechanismem typu „</w:t>
      </w:r>
      <w:proofErr w:type="spellStart"/>
      <w:r w:rsidRPr="004B279B">
        <w:rPr>
          <w:rFonts w:ascii="Calibri" w:hAnsi="Calibri" w:cs="Calibri"/>
          <w:sz w:val="22"/>
          <w:szCs w:val="22"/>
        </w:rPr>
        <w:t>buy</w:t>
      </w:r>
      <w:proofErr w:type="spellEnd"/>
      <w:r w:rsidRPr="004B279B">
        <w:rPr>
          <w:rFonts w:ascii="Calibri" w:hAnsi="Calibri" w:cs="Calibri"/>
          <w:sz w:val="22"/>
          <w:szCs w:val="22"/>
        </w:rPr>
        <w:t>-out“ nebo „</w:t>
      </w:r>
      <w:proofErr w:type="spellStart"/>
      <w:r w:rsidRPr="004B279B">
        <w:rPr>
          <w:rFonts w:ascii="Calibri" w:hAnsi="Calibri" w:cs="Calibri"/>
          <w:sz w:val="22"/>
          <w:szCs w:val="22"/>
        </w:rPr>
        <w:t>compliance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B279B">
        <w:rPr>
          <w:rFonts w:ascii="Calibri" w:hAnsi="Calibri" w:cs="Calibri"/>
          <w:sz w:val="22"/>
          <w:szCs w:val="22"/>
        </w:rPr>
        <w:t>payment</w:t>
      </w:r>
      <w:proofErr w:type="spellEnd"/>
      <w:r w:rsidRPr="004B279B">
        <w:rPr>
          <w:rFonts w:ascii="Calibri" w:hAnsi="Calibri" w:cs="Calibri"/>
          <w:sz w:val="22"/>
          <w:szCs w:val="22"/>
        </w:rPr>
        <w:t>“. Navrhovaný poplatek představuje právě takový ekonomický mechanismus. Ponechává stejnou výši jako dosavadní pokuta, a tím si zachovává silný odrazující účinek. Zároveň je plně přiměřený, neboť představuje přímou internalizaci nákladů na nesplnění environmentální povinnosti.</w:t>
      </w:r>
    </w:p>
    <w:p w14:paraId="7E726071" w14:textId="77777777" w:rsidR="004B279B" w:rsidRPr="004B279B" w:rsidRDefault="004B279B" w:rsidP="004B279B">
      <w:pPr>
        <w:numPr>
          <w:ilvl w:val="0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b/>
          <w:bCs/>
          <w:sz w:val="22"/>
          <w:szCs w:val="22"/>
        </w:rPr>
        <w:t>Zvyšuje proporcionalitu a právní jistotu bez oslabení ochrany životního prostředí</w:t>
      </w:r>
      <w:r w:rsidRPr="004B279B">
        <w:rPr>
          <w:rFonts w:ascii="Calibri" w:hAnsi="Calibri" w:cs="Calibri"/>
          <w:sz w:val="22"/>
          <w:szCs w:val="22"/>
        </w:rPr>
        <w:t xml:space="preserve"> Explicitní kvalifikace jako „zákonem předvídaný způsob finančního vypořádání povinnosti“ a vyloučení dalších sankčních následků (správní delikt, vyloučení z veřejných zakázek apod.) pouze odstraňuje nadbytečné vedlejší důsledky, které EU právo nevyžaduje. Tím návrh zlepšuje proporcionalitu regulace (zásada proporcionality dle čl. 5 SFEU) a přispívá k vyšší právní jistotě hospodářských subjektů, aniž by snižoval environmentální ambice nebo účinnost vymáhání.</w:t>
      </w:r>
    </w:p>
    <w:p w14:paraId="04EAB8C7" w14:textId="77777777" w:rsidR="004B279B" w:rsidRPr="004B279B" w:rsidRDefault="004B279B" w:rsidP="004B279B">
      <w:pPr>
        <w:numPr>
          <w:ilvl w:val="0"/>
          <w:numId w:val="8"/>
        </w:num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b/>
          <w:bCs/>
          <w:sz w:val="22"/>
          <w:szCs w:val="22"/>
        </w:rPr>
        <w:t>Je v souladu s praxí v jiných členských státech</w:t>
      </w:r>
      <w:r w:rsidRPr="004B279B">
        <w:rPr>
          <w:rFonts w:ascii="Calibri" w:hAnsi="Calibri" w:cs="Calibri"/>
          <w:sz w:val="22"/>
          <w:szCs w:val="22"/>
        </w:rPr>
        <w:t xml:space="preserve"> Řada států EU (včetně těch s nejambicióznější klimatickou politikou) používá obdobné „</w:t>
      </w:r>
      <w:proofErr w:type="spellStart"/>
      <w:r w:rsidRPr="004B279B">
        <w:rPr>
          <w:rFonts w:ascii="Calibri" w:hAnsi="Calibri" w:cs="Calibri"/>
          <w:sz w:val="22"/>
          <w:szCs w:val="22"/>
        </w:rPr>
        <w:t>buy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-out“ nebo </w:t>
      </w:r>
      <w:proofErr w:type="spellStart"/>
      <w:r w:rsidRPr="004B279B">
        <w:rPr>
          <w:rFonts w:ascii="Calibri" w:hAnsi="Calibri" w:cs="Calibri"/>
          <w:sz w:val="22"/>
          <w:szCs w:val="22"/>
        </w:rPr>
        <w:t>levy</w:t>
      </w:r>
      <w:proofErr w:type="spellEnd"/>
      <w:r w:rsidRPr="004B279B">
        <w:rPr>
          <w:rFonts w:ascii="Calibri" w:hAnsi="Calibri" w:cs="Calibri"/>
          <w:sz w:val="22"/>
          <w:szCs w:val="22"/>
        </w:rPr>
        <w:t xml:space="preserve"> mechanismy právě jako primární nástroj vymáhání povinností v oblasti obnovitelných paliv v dopravě. Takový přístup je Evropskou komisí dlouhodobě akceptován jako legitimní a efektivní.</w:t>
      </w:r>
    </w:p>
    <w:p w14:paraId="3BBF6929" w14:textId="77777777" w:rsidR="004B279B" w:rsidRPr="004B279B" w:rsidRDefault="004B279B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  <w:r w:rsidRPr="004B279B">
        <w:rPr>
          <w:rFonts w:ascii="Calibri" w:hAnsi="Calibri" w:cs="Calibri"/>
          <w:b/>
          <w:bCs/>
          <w:sz w:val="22"/>
          <w:szCs w:val="22"/>
        </w:rPr>
        <w:t>Závěr:</w:t>
      </w:r>
      <w:r w:rsidRPr="004B279B">
        <w:rPr>
          <w:rFonts w:ascii="Calibri" w:hAnsi="Calibri" w:cs="Calibri"/>
          <w:sz w:val="22"/>
          <w:szCs w:val="22"/>
        </w:rPr>
        <w:t xml:space="preserve"> Navrhovaná úprava nepředstavuje žádný zásah do implementace práva Evropské unie. Naopak přispívá k lepší, transparentnější a proporcionálnější transpozici čl. 25 RED II/III tím, že jasně odděluje ekonomický nástroj od režimu správního trestání, přičemž plně zachovává efektivitu a odrazující účinek mechanismu. Návrh tak posiluje právní jistotu a předvídatelnost právního prostředí pro podnikatele, aniž by jakkoli ohrozil dosažení emisních cílů stanovených Unií.</w:t>
      </w:r>
    </w:p>
    <w:p w14:paraId="4B922679" w14:textId="6F92DF1D" w:rsidR="006D4F2D" w:rsidRPr="00886F9C" w:rsidRDefault="006D4F2D" w:rsidP="004B279B">
      <w:pPr>
        <w:tabs>
          <w:tab w:val="left" w:pos="567"/>
        </w:tabs>
        <w:spacing w:after="120"/>
        <w:jc w:val="both"/>
        <w:rPr>
          <w:rFonts w:ascii="Calibri" w:hAnsi="Calibri" w:cs="Calibri"/>
          <w:sz w:val="22"/>
          <w:szCs w:val="22"/>
        </w:rPr>
      </w:pPr>
    </w:p>
    <w:sectPr w:rsidR="006D4F2D" w:rsidRPr="00886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861"/>
    <w:multiLevelType w:val="hybridMultilevel"/>
    <w:tmpl w:val="70469E94"/>
    <w:lvl w:ilvl="0" w:tplc="0405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D6172"/>
    <w:multiLevelType w:val="multilevel"/>
    <w:tmpl w:val="609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32076"/>
    <w:multiLevelType w:val="multilevel"/>
    <w:tmpl w:val="115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42CB7"/>
    <w:multiLevelType w:val="multilevel"/>
    <w:tmpl w:val="287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313A8"/>
    <w:multiLevelType w:val="hybridMultilevel"/>
    <w:tmpl w:val="B79A3512"/>
    <w:lvl w:ilvl="0" w:tplc="75A252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0E0ACF"/>
    <w:multiLevelType w:val="multilevel"/>
    <w:tmpl w:val="AB7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E0611"/>
    <w:multiLevelType w:val="hybridMultilevel"/>
    <w:tmpl w:val="D60AB8E8"/>
    <w:lvl w:ilvl="0" w:tplc="50F8C0F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1447A2"/>
    <w:multiLevelType w:val="multilevel"/>
    <w:tmpl w:val="CA52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803055">
    <w:abstractNumId w:val="1"/>
  </w:num>
  <w:num w:numId="2" w16cid:durableId="1828937920">
    <w:abstractNumId w:val="3"/>
  </w:num>
  <w:num w:numId="3" w16cid:durableId="1193542394">
    <w:abstractNumId w:val="5"/>
  </w:num>
  <w:num w:numId="4" w16cid:durableId="766659923">
    <w:abstractNumId w:val="6"/>
  </w:num>
  <w:num w:numId="5" w16cid:durableId="1831020028">
    <w:abstractNumId w:val="4"/>
  </w:num>
  <w:num w:numId="6" w16cid:durableId="753358781">
    <w:abstractNumId w:val="0"/>
  </w:num>
  <w:num w:numId="7" w16cid:durableId="1014576591">
    <w:abstractNumId w:val="2"/>
  </w:num>
  <w:num w:numId="8" w16cid:durableId="240722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2D"/>
    <w:rsid w:val="001F40A0"/>
    <w:rsid w:val="002117F2"/>
    <w:rsid w:val="002E5B9B"/>
    <w:rsid w:val="004B279B"/>
    <w:rsid w:val="00657BC4"/>
    <w:rsid w:val="00661FC7"/>
    <w:rsid w:val="0067747C"/>
    <w:rsid w:val="006B5B5E"/>
    <w:rsid w:val="006D4F2D"/>
    <w:rsid w:val="00886F9C"/>
    <w:rsid w:val="009B2555"/>
    <w:rsid w:val="00AC20C9"/>
    <w:rsid w:val="00B04746"/>
    <w:rsid w:val="00B265D2"/>
    <w:rsid w:val="00CF6C7F"/>
    <w:rsid w:val="00D34B3B"/>
    <w:rsid w:val="00D8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04136"/>
  <w15:chartTrackingRefBased/>
  <w15:docId w15:val="{F6DF0682-F81C-864F-AA9C-1B605D4E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D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D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D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D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D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D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D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D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D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D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D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6D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D4F2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D4F2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D4F2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D4F2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D4F2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D4F2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D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D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D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D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D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D4F2D"/>
    <w:rPr>
      <w:i/>
      <w:iCs/>
      <w:color w:val="404040" w:themeColor="text1" w:themeTint="BF"/>
    </w:rPr>
  </w:style>
  <w:style w:type="paragraph" w:styleId="Odstavecseseznamem">
    <w:name w:val="List Paragraph"/>
    <w:aliases w:val="(1) odstavec,Dot pt,No Spacing1,List Paragraph Char Char Char,Indicator Text,Numbered Para 1,List Paragraph à moi,LISTA,List Paragraph1,Listaszerű bekezdés2,Listaszerű bekezdés1,Listaszerű bekezdés3,List Paragraph (Czech Tourism)"/>
    <w:basedOn w:val="Normln"/>
    <w:link w:val="OdstavecseseznamemChar"/>
    <w:uiPriority w:val="34"/>
    <w:qFormat/>
    <w:rsid w:val="006D4F2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D4F2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D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D4F2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D4F2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Standardnpsmoodstavce"/>
    <w:rsid w:val="006D4F2D"/>
  </w:style>
  <w:style w:type="paragraph" w:customStyle="1" w:styleId="p2">
    <w:name w:val="p2"/>
    <w:basedOn w:val="Normln"/>
    <w:rsid w:val="006D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p3">
    <w:name w:val="p3"/>
    <w:basedOn w:val="Normln"/>
    <w:rsid w:val="006D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p4">
    <w:name w:val="p4"/>
    <w:basedOn w:val="Normln"/>
    <w:rsid w:val="006D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p5">
    <w:name w:val="p5"/>
    <w:basedOn w:val="Normln"/>
    <w:rsid w:val="006D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p1">
    <w:name w:val="p1"/>
    <w:basedOn w:val="Normln"/>
    <w:rsid w:val="006D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p6">
    <w:name w:val="p6"/>
    <w:basedOn w:val="Normln"/>
    <w:rsid w:val="006D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s2">
    <w:name w:val="s2"/>
    <w:basedOn w:val="Standardnpsmoodstavce"/>
    <w:rsid w:val="006D4F2D"/>
  </w:style>
  <w:style w:type="paragraph" w:styleId="Bezmezer">
    <w:name w:val="No Spacing"/>
    <w:uiPriority w:val="1"/>
    <w:qFormat/>
    <w:rsid w:val="006D4F2D"/>
    <w:pPr>
      <w:spacing w:after="0" w:line="240" w:lineRule="auto"/>
    </w:pPr>
  </w:style>
  <w:style w:type="paragraph" w:customStyle="1" w:styleId="s11">
    <w:name w:val="s11"/>
    <w:basedOn w:val="Normln"/>
    <w:rsid w:val="009B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s12">
    <w:name w:val="s12"/>
    <w:basedOn w:val="Standardnpsmoodstavce"/>
    <w:rsid w:val="009B2555"/>
  </w:style>
  <w:style w:type="character" w:customStyle="1" w:styleId="s13">
    <w:name w:val="s13"/>
    <w:basedOn w:val="Standardnpsmoodstavce"/>
    <w:rsid w:val="009B2555"/>
  </w:style>
  <w:style w:type="character" w:customStyle="1" w:styleId="s14">
    <w:name w:val="s14"/>
    <w:basedOn w:val="Standardnpsmoodstavce"/>
    <w:rsid w:val="009B2555"/>
  </w:style>
  <w:style w:type="character" w:customStyle="1" w:styleId="apple-converted-space">
    <w:name w:val="apple-converted-space"/>
    <w:basedOn w:val="Standardnpsmoodstavce"/>
    <w:rsid w:val="009B2555"/>
  </w:style>
  <w:style w:type="paragraph" w:customStyle="1" w:styleId="s16">
    <w:name w:val="s16"/>
    <w:basedOn w:val="Normln"/>
    <w:rsid w:val="009B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Odkaznakoment">
    <w:name w:val="annotation reference"/>
    <w:uiPriority w:val="99"/>
    <w:semiHidden/>
    <w:unhideWhenUsed/>
    <w:rsid w:val="00886F9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886F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x-none" w:eastAsia="cs-CZ"/>
      <w14:ligatures w14:val="none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886F9C"/>
    <w:rPr>
      <w:rFonts w:ascii="Times New Roman" w:eastAsia="Times New Roman" w:hAnsi="Times New Roman" w:cs="Times New Roman"/>
      <w:kern w:val="0"/>
      <w:sz w:val="20"/>
      <w:szCs w:val="20"/>
      <w:lang w:val="x-none" w:eastAsia="cs-CZ"/>
      <w14:ligatures w14:val="none"/>
    </w:rPr>
  </w:style>
  <w:style w:type="character" w:customStyle="1" w:styleId="OdstavecseseznamemChar">
    <w:name w:val="Odstavec se seznamem Char"/>
    <w:aliases w:val="(1) odstavec Char,Dot pt Char,No Spacing1 Char,List Paragraph Char Char Char Char,Indicator Text Char,Numbered Para 1 Char,List Paragraph à moi Char,LISTA Char,List Paragraph1 Char,Listaszerű bekezdés2 Char"/>
    <w:link w:val="Odstavecseseznamem"/>
    <w:uiPriority w:val="34"/>
    <w:qFormat/>
    <w:rsid w:val="00886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700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Indracek</dc:creator>
  <cp:keywords/>
  <dc:description/>
  <cp:lastModifiedBy>Libor Vondráček</cp:lastModifiedBy>
  <cp:revision>5</cp:revision>
  <dcterms:created xsi:type="dcterms:W3CDTF">2026-05-25T14:51:00Z</dcterms:created>
  <dcterms:modified xsi:type="dcterms:W3CDTF">2026-05-27T20:37:00Z</dcterms:modified>
</cp:coreProperties>
</file>