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845D" w14:textId="0F256FC3" w:rsidR="0088392F" w:rsidRPr="00840785" w:rsidRDefault="0088392F" w:rsidP="0088392F">
      <w:pPr>
        <w:widowControl w:val="0"/>
        <w:spacing w:before="120" w:after="120"/>
        <w:jc w:val="center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bookmarkStart w:id="0" w:name="_Hlk227162877"/>
      <w:r w:rsidRPr="00840785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eastAsia="cs-CZ"/>
        </w:rPr>
        <w:drawing>
          <wp:inline distT="0" distB="0" distL="0" distR="0" wp14:anchorId="2BD9E8E6" wp14:editId="61C885FC">
            <wp:extent cx="2082800" cy="1085850"/>
            <wp:effectExtent l="0" t="0" r="0" b="0"/>
            <wp:docPr id="1" name="Obrázek 1" descr="Obsah obrázku Písmo, skica, klipart, Pero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Písmo, skica, klipart, Pero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C677" w14:textId="77777777" w:rsidR="0088392F" w:rsidRPr="00840785" w:rsidRDefault="0088392F" w:rsidP="0088392F">
      <w:pPr>
        <w:widowControl w:val="0"/>
        <w:spacing w:before="120" w:after="120"/>
        <w:jc w:val="center"/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14:paraId="2F13A58A" w14:textId="77777777" w:rsidR="0088392F" w:rsidRPr="00840785" w:rsidRDefault="0088392F" w:rsidP="0088392F">
      <w:pPr>
        <w:widowControl w:val="0"/>
        <w:spacing w:before="120" w:after="120"/>
        <w:jc w:val="center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8407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PARLAMENT ČESKÉ REPUBLIKY</w:t>
      </w:r>
    </w:p>
    <w:p w14:paraId="1FC25E99" w14:textId="77777777" w:rsidR="0088392F" w:rsidRPr="00840785" w:rsidRDefault="0088392F" w:rsidP="0088392F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Poslanecká sněmovna</w:t>
      </w:r>
    </w:p>
    <w:p w14:paraId="7EB3E7A6" w14:textId="77777777" w:rsidR="0088392F" w:rsidRPr="00840785" w:rsidRDefault="0088392F" w:rsidP="0088392F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2026</w:t>
      </w:r>
    </w:p>
    <w:p w14:paraId="56CAC3DD" w14:textId="77777777" w:rsidR="0088392F" w:rsidRPr="00840785" w:rsidRDefault="0088392F" w:rsidP="0088392F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X. volební období</w:t>
      </w:r>
    </w:p>
    <w:p w14:paraId="3BC8D92A" w14:textId="77777777" w:rsidR="0088392F" w:rsidRPr="00840785" w:rsidRDefault="0088392F" w:rsidP="0088392F">
      <w:pPr>
        <w:widowControl w:val="0"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</w:p>
    <w:p w14:paraId="233FFEF8" w14:textId="77777777" w:rsidR="0088392F" w:rsidRDefault="0088392F" w:rsidP="0088392F">
      <w:pPr>
        <w:jc w:val="center"/>
        <w:rPr>
          <w:b/>
          <w:sz w:val="32"/>
        </w:rPr>
      </w:pPr>
    </w:p>
    <w:p w14:paraId="69253A58" w14:textId="77777777" w:rsidR="0088392F" w:rsidRPr="001A0E07" w:rsidRDefault="0088392F" w:rsidP="0088392F">
      <w:pPr>
        <w:jc w:val="center"/>
        <w:rPr>
          <w:sz w:val="24"/>
          <w:szCs w:val="24"/>
        </w:rPr>
      </w:pPr>
      <w:r w:rsidRPr="001A0E07">
        <w:rPr>
          <w:rFonts w:ascii="Arial" w:hAnsi="Arial"/>
          <w:b/>
          <w:sz w:val="36"/>
          <w:szCs w:val="24"/>
        </w:rPr>
        <w:t>Pozměňovací návrh</w:t>
      </w:r>
    </w:p>
    <w:p w14:paraId="543C4265" w14:textId="760827DB" w:rsidR="0088392F" w:rsidRPr="001A0E07" w:rsidRDefault="0088392F" w:rsidP="0088392F">
      <w:pPr>
        <w:jc w:val="center"/>
        <w:rPr>
          <w:sz w:val="24"/>
          <w:szCs w:val="24"/>
        </w:rPr>
      </w:pPr>
      <w:r w:rsidRPr="001A0E07">
        <w:rPr>
          <w:rFonts w:ascii="Arial" w:hAnsi="Arial"/>
          <w:b/>
          <w:sz w:val="28"/>
          <w:szCs w:val="24"/>
        </w:rPr>
        <w:t>poslance Petra Hladíka</w:t>
      </w:r>
      <w:r w:rsidR="001F7C6E">
        <w:rPr>
          <w:rFonts w:ascii="Arial" w:hAnsi="Arial"/>
          <w:b/>
          <w:sz w:val="28"/>
          <w:szCs w:val="24"/>
        </w:rPr>
        <w:t xml:space="preserve">, Bohuslava </w:t>
      </w:r>
      <w:proofErr w:type="spellStart"/>
      <w:r w:rsidR="001F7C6E">
        <w:rPr>
          <w:rFonts w:ascii="Arial" w:hAnsi="Arial"/>
          <w:b/>
          <w:sz w:val="28"/>
          <w:szCs w:val="24"/>
        </w:rPr>
        <w:t>Niemiece</w:t>
      </w:r>
      <w:proofErr w:type="spellEnd"/>
      <w:r w:rsidR="001F7C6E">
        <w:rPr>
          <w:rFonts w:ascii="Arial" w:hAnsi="Arial"/>
          <w:b/>
          <w:sz w:val="28"/>
          <w:szCs w:val="24"/>
        </w:rPr>
        <w:t>, Františka Talíře</w:t>
      </w:r>
      <w:r w:rsidR="00AA6CC3">
        <w:rPr>
          <w:rFonts w:ascii="Arial" w:hAnsi="Arial"/>
          <w:b/>
          <w:sz w:val="28"/>
          <w:szCs w:val="24"/>
        </w:rPr>
        <w:t>, Jana </w:t>
      </w:r>
      <w:proofErr w:type="spellStart"/>
      <w:r w:rsidR="00AA6CC3">
        <w:rPr>
          <w:rFonts w:ascii="Arial" w:hAnsi="Arial"/>
          <w:b/>
          <w:sz w:val="28"/>
          <w:szCs w:val="24"/>
        </w:rPr>
        <w:t>Filipovičová</w:t>
      </w:r>
      <w:proofErr w:type="spellEnd"/>
      <w:r w:rsidR="001F7C6E">
        <w:rPr>
          <w:rFonts w:ascii="Arial" w:hAnsi="Arial"/>
          <w:b/>
          <w:sz w:val="28"/>
          <w:szCs w:val="24"/>
        </w:rPr>
        <w:t xml:space="preserve"> a Marka Výborného</w:t>
      </w:r>
    </w:p>
    <w:bookmarkEnd w:id="0"/>
    <w:p w14:paraId="26CC0345" w14:textId="77777777" w:rsidR="0088392F" w:rsidRPr="00930CDA" w:rsidRDefault="0088392F" w:rsidP="0088392F">
      <w:pPr>
        <w:widowControl w:val="0"/>
        <w:spacing w:before="120" w:after="120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>ke komplexnímu pozměňovacímu návrhu</w:t>
      </w:r>
    </w:p>
    <w:p w14:paraId="7BA63B17" w14:textId="77777777" w:rsidR="0088392F" w:rsidRPr="00930CDA" w:rsidRDefault="0088392F" w:rsidP="0088392F">
      <w:pPr>
        <w:widowControl w:val="0"/>
        <w:spacing w:before="120" w:after="120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 xml:space="preserve">k návrhu poslanců Andreje Babiše, Karla Havlíčka, Tomia Okamury, Petra </w:t>
      </w:r>
      <w:proofErr w:type="spellStart"/>
      <w:r w:rsidRPr="00930CDA">
        <w:rPr>
          <w:rFonts w:ascii="Arial" w:eastAsia="Calibri" w:hAnsi="Arial" w:cs="Arial"/>
          <w:b/>
          <w:bCs/>
        </w:rPr>
        <w:t>Macinky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, Aleny Schillerové, Zuzany Schwarz Bařtipánové, Radima Fialy, Borise Šťastného, Vojtěcha </w:t>
      </w:r>
      <w:proofErr w:type="spellStart"/>
      <w:r w:rsidRPr="00930CDA">
        <w:rPr>
          <w:rFonts w:ascii="Arial" w:eastAsia="Calibri" w:hAnsi="Arial" w:cs="Arial"/>
          <w:b/>
          <w:bCs/>
        </w:rPr>
        <w:t>Krňanského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a Marie </w:t>
      </w:r>
      <w:proofErr w:type="spellStart"/>
      <w:r w:rsidRPr="00930CDA">
        <w:rPr>
          <w:rFonts w:ascii="Arial" w:eastAsia="Calibri" w:hAnsi="Arial" w:cs="Arial"/>
          <w:b/>
          <w:bCs/>
        </w:rPr>
        <w:t>Pošarové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na vydání zákona, kterým se mění zákon č. 283/2021 Sb., stavební zákon, ve znění pozdějších předpisů, a některé další související zákony</w:t>
      </w:r>
    </w:p>
    <w:p w14:paraId="3335D712" w14:textId="77777777" w:rsidR="0088392F" w:rsidRDefault="0088392F" w:rsidP="0088392F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3888ECD" w14:textId="77777777" w:rsidR="0088392F" w:rsidRPr="00C9400A" w:rsidRDefault="0088392F" w:rsidP="0088392F">
      <w:pPr>
        <w:widowControl w:val="0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9400A">
        <w:rPr>
          <w:rFonts w:ascii="Times New Roman" w:hAnsi="Times New Roman" w:cs="Times New Roman"/>
          <w:sz w:val="24"/>
          <w:szCs w:val="24"/>
        </w:rPr>
        <w:t>/sněmovní tisk 67/</w:t>
      </w:r>
    </w:p>
    <w:p w14:paraId="77D83D23" w14:textId="18DB3055" w:rsidR="0049329B" w:rsidRDefault="00000000">
      <w:pPr>
        <w:pStyle w:val="Normln1"/>
        <w:keepNext/>
        <w:keepLines/>
        <w:widowControl w:val="0"/>
        <w:suppressAutoHyphens/>
        <w:spacing w:line="273" w:lineRule="auto"/>
        <w:jc w:val="center"/>
        <w:rPr>
          <w:rFonts w:ascii="Arial" w:eastAsia="Calibri" w:hAnsi="Arial" w:cs="Arial"/>
          <w:b/>
          <w:sz w:val="22"/>
          <w:szCs w:val="22"/>
        </w:rPr>
      </w:pPr>
      <w:r>
        <w:rPr>
          <w:rFonts w:ascii="Arial" w:eastAsia="Calibri" w:hAnsi="Arial" w:cs="Arial"/>
          <w:b/>
          <w:sz w:val="22"/>
          <w:szCs w:val="22"/>
        </w:rPr>
        <w:lastRenderedPageBreak/>
        <w:t>Změna občanského zákoníku</w:t>
      </w:r>
    </w:p>
    <w:p w14:paraId="3DAE4EE4" w14:textId="483C2BB6" w:rsidR="0049329B" w:rsidRDefault="00000000">
      <w:pPr>
        <w:pStyle w:val="Normln1"/>
        <w:keepNext/>
        <w:keepLines/>
        <w:widowControl w:val="0"/>
        <w:suppressAutoHyphens/>
        <w:spacing w:line="273" w:lineRule="auto"/>
        <w:rPr>
          <w:rFonts w:ascii="Arial" w:eastAsia="Calibri" w:hAnsi="Arial" w:cs="Arial"/>
          <w:b/>
          <w:sz w:val="22"/>
          <w:szCs w:val="22"/>
        </w:rPr>
      </w:pPr>
      <w:r>
        <w:rPr>
          <w:rFonts w:ascii="Arial" w:eastAsia="Calibri" w:hAnsi="Arial" w:cs="Arial"/>
          <w:b/>
          <w:sz w:val="22"/>
          <w:szCs w:val="22"/>
        </w:rPr>
        <w:t>Zákon č. 89/2012 Sb., občanský zákoník, ve znění zákona č. 460/2016 Sb., zákona č. 303/2017 Sb., zákona č. 111/2018 Sb., zákona č. 171/2018 Sb., zákona č. 33/2020 Sb., zákona č. 163/2020 Sb., zákona č. 192/2021 Sb., zákona č. 374/2022 Sb., zákona č. 429/2022 Sb., zákona č. 414/2023 Sb., zákona č. 31/2024 Sb., zákona č. 123/2024</w:t>
      </w:r>
      <w:r w:rsidR="00E149B7">
        <w:rPr>
          <w:rFonts w:ascii="Arial" w:eastAsia="Calibri" w:hAnsi="Arial" w:cs="Arial"/>
          <w:b/>
          <w:sz w:val="22"/>
          <w:szCs w:val="22"/>
        </w:rPr>
        <w:t xml:space="preserve"> Sb.</w:t>
      </w:r>
      <w:r>
        <w:rPr>
          <w:rFonts w:ascii="Arial" w:eastAsia="Calibri" w:hAnsi="Arial" w:cs="Arial"/>
          <w:b/>
          <w:sz w:val="22"/>
          <w:szCs w:val="22"/>
        </w:rPr>
        <w:t xml:space="preserve">, nálezu Ústavního soudu č. 144/2024 Sb. a zákona č. 32/2025 </w:t>
      </w:r>
      <w:r w:rsidR="00E149B7">
        <w:rPr>
          <w:rFonts w:ascii="Arial" w:eastAsia="Calibri" w:hAnsi="Arial" w:cs="Arial"/>
          <w:b/>
          <w:sz w:val="22"/>
          <w:szCs w:val="22"/>
        </w:rPr>
        <w:t xml:space="preserve">Sb. </w:t>
      </w:r>
      <w:r>
        <w:rPr>
          <w:rFonts w:ascii="Arial" w:eastAsia="Calibri" w:hAnsi="Arial" w:cs="Arial"/>
          <w:b/>
          <w:sz w:val="22"/>
          <w:szCs w:val="22"/>
        </w:rPr>
        <w:t>se mění takto:</w:t>
      </w:r>
    </w:p>
    <w:p w14:paraId="63155F50" w14:textId="77777777" w:rsidR="0049329B" w:rsidRDefault="00000000">
      <w:pPr>
        <w:pStyle w:val="Normln1"/>
        <w:keepNext/>
        <w:keepLines/>
        <w:widowControl w:val="0"/>
        <w:suppressAutoHyphens/>
        <w:spacing w:line="273" w:lineRule="auto"/>
        <w:rPr>
          <w:rFonts w:ascii="Arial" w:eastAsia="Calibri" w:hAnsi="Arial" w:cs="Arial"/>
          <w:b/>
          <w:sz w:val="22"/>
          <w:szCs w:val="22"/>
        </w:rPr>
      </w:pPr>
      <w:r>
        <w:rPr>
          <w:rFonts w:ascii="Arial" w:eastAsia="Calibri" w:hAnsi="Arial" w:cs="Arial"/>
          <w:b/>
          <w:sz w:val="22"/>
          <w:szCs w:val="22"/>
        </w:rPr>
        <w:t xml:space="preserve">1. V § 2896 se na konci věty doplňují slova, která znějí: „, pokud není v zákoně stanoveno jinak“. </w:t>
      </w:r>
    </w:p>
    <w:p w14:paraId="45F65BC6" w14:textId="77777777" w:rsidR="0049329B" w:rsidRDefault="00000000">
      <w:pPr>
        <w:pStyle w:val="Normln1"/>
        <w:keepNext/>
        <w:keepLines/>
        <w:widowControl w:val="0"/>
        <w:suppressAutoHyphens/>
        <w:spacing w:line="273" w:lineRule="auto"/>
        <w:rPr>
          <w:rFonts w:ascii="Arial" w:eastAsia="Calibri" w:hAnsi="Arial" w:cs="Arial"/>
          <w:b/>
          <w:sz w:val="22"/>
          <w:szCs w:val="22"/>
        </w:rPr>
      </w:pPr>
      <w:r>
        <w:rPr>
          <w:rFonts w:ascii="Arial" w:eastAsia="Calibri" w:hAnsi="Arial" w:cs="Arial"/>
          <w:b/>
          <w:sz w:val="22"/>
          <w:szCs w:val="22"/>
        </w:rPr>
        <w:t>2. Za § 2903 se vkládá nový § 2903a, který zní:</w:t>
      </w:r>
    </w:p>
    <w:p w14:paraId="172BA15C" w14:textId="77777777" w:rsidR="0049329B" w:rsidRDefault="00000000">
      <w:pPr>
        <w:pStyle w:val="Normln1"/>
        <w:keepNext/>
        <w:keepLines/>
        <w:widowControl w:val="0"/>
        <w:suppressAutoHyphens/>
        <w:spacing w:line="273" w:lineRule="auto"/>
        <w:rPr>
          <w:rFonts w:ascii="Arial" w:eastAsia="Calibri" w:hAnsi="Arial" w:cs="Arial"/>
          <w:b/>
          <w:sz w:val="22"/>
          <w:szCs w:val="22"/>
        </w:rPr>
      </w:pPr>
      <w:r>
        <w:rPr>
          <w:rFonts w:ascii="Arial" w:eastAsia="Calibri" w:hAnsi="Arial" w:cs="Arial"/>
          <w:b/>
          <w:sz w:val="22"/>
          <w:szCs w:val="22"/>
        </w:rPr>
        <w:t>„§ 2903a</w:t>
      </w:r>
    </w:p>
    <w:p w14:paraId="7FDA0582" w14:textId="77777777" w:rsidR="0049329B" w:rsidRDefault="00000000" w:rsidP="007B4479">
      <w:pPr>
        <w:pStyle w:val="Normln1"/>
        <w:keepNext/>
        <w:keepLines/>
        <w:widowControl w:val="0"/>
        <w:suppressAutoHyphens/>
        <w:spacing w:line="273" w:lineRule="auto"/>
        <w:jc w:val="both"/>
        <w:rPr>
          <w:rFonts w:ascii="Arial" w:eastAsia="Calibri" w:hAnsi="Arial" w:cs="Arial"/>
          <w:b/>
          <w:sz w:val="22"/>
          <w:szCs w:val="22"/>
        </w:rPr>
      </w:pPr>
      <w:r>
        <w:rPr>
          <w:rFonts w:ascii="Arial" w:eastAsia="Calibri" w:hAnsi="Arial" w:cs="Arial"/>
          <w:b/>
          <w:sz w:val="22"/>
          <w:szCs w:val="22"/>
        </w:rPr>
        <w:t>(1) Každý je povinen při pohybu na cizích pozemcích včetně pohybu na pozemních komunikacích, stezkách a pěšinách, vyznačených cyklostezkách, odpočinkových místech, tábořištích nebo podobných místech mimo zastavěná území obcí dbát své osobní bezpečnosti nebo bezpečnosti osob svěřených a přizpůsobit své jednání stavu přírodního prostředí na těchto pozemcích a nebezpečím v přírodě obvyklým.</w:t>
      </w:r>
    </w:p>
    <w:p w14:paraId="6A124A2E" w14:textId="4557CD82" w:rsidR="0049329B" w:rsidRDefault="00000000" w:rsidP="007B4479">
      <w:pPr>
        <w:pStyle w:val="Normln1"/>
        <w:keepNext/>
        <w:keepLines/>
        <w:widowControl w:val="0"/>
        <w:suppressAutoHyphens/>
        <w:spacing w:line="273" w:lineRule="auto"/>
        <w:jc w:val="both"/>
        <w:rPr>
          <w:rFonts w:ascii="Arial" w:eastAsia="Calibri" w:hAnsi="Arial" w:cs="Arial"/>
          <w:b/>
          <w:sz w:val="22"/>
          <w:szCs w:val="22"/>
        </w:rPr>
      </w:pPr>
      <w:r>
        <w:rPr>
          <w:rFonts w:ascii="Arial" w:eastAsia="Calibri" w:hAnsi="Arial" w:cs="Arial"/>
          <w:b/>
          <w:sz w:val="22"/>
          <w:szCs w:val="22"/>
        </w:rPr>
        <w:t>(2) Vlastník pozemku není povinen k náhradě újmy vzniklé v důsledku nebezpečí majícího původ v přírodním prostředí osobě nacházející se na jeho pozemku mimo zastavěné území obce na účelové komunikaci, značené turistické cestě, vyznačené cyklostezce, odpočinkovém místě, tábořišti nebo jiném podobném místě.“.</w:t>
      </w:r>
    </w:p>
    <w:p w14:paraId="5AB4AD96" w14:textId="77777777" w:rsidR="0049329B" w:rsidRDefault="0049329B">
      <w:pPr>
        <w:pStyle w:val="Normln1"/>
        <w:keepNext/>
        <w:keepLines/>
        <w:widowControl w:val="0"/>
        <w:suppressAutoHyphens/>
        <w:spacing w:line="273" w:lineRule="auto"/>
        <w:rPr>
          <w:rFonts w:ascii="Arial" w:eastAsia="Calibri" w:hAnsi="Arial" w:cs="Arial"/>
          <w:b/>
          <w:sz w:val="22"/>
          <w:szCs w:val="22"/>
        </w:rPr>
      </w:pPr>
    </w:p>
    <w:p w14:paraId="60743C64" w14:textId="77777777" w:rsidR="0049329B" w:rsidRDefault="00000000">
      <w:pPr>
        <w:pStyle w:val="Normln1"/>
        <w:keepNext/>
        <w:keepLines/>
        <w:widowControl w:val="0"/>
        <w:suppressAutoHyphens/>
        <w:spacing w:line="273" w:lineRule="auto"/>
        <w:rPr>
          <w:rFonts w:ascii="Arial" w:eastAsia="Calibri" w:hAnsi="Arial" w:cs="Arial"/>
          <w:b/>
          <w:sz w:val="22"/>
          <w:szCs w:val="22"/>
        </w:rPr>
      </w:pPr>
      <w:r>
        <w:rPr>
          <w:rFonts w:ascii="Arial" w:eastAsia="Calibri" w:hAnsi="Arial" w:cs="Arial"/>
          <w:b/>
          <w:sz w:val="22"/>
          <w:szCs w:val="22"/>
        </w:rPr>
        <w:t>ZDŮVODNĚNÍ:</w:t>
      </w:r>
    </w:p>
    <w:p w14:paraId="040B0028" w14:textId="42F02058" w:rsidR="007B4479" w:rsidRPr="007B4479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t xml:space="preserve">Navrhovaná úprava reaguje na debatu o odpovědnosti za újmy způsobené přírodními vlivy při pohybu osob ve volné krajině, která byla v poslední době otevřena mimo jiné i pozměňovacím návrhem poslance Filipa Turka k novele zákona o ochraně přírody a krajiny. Tento návrh správně upozornil na potřebu větší právní jistoty v otázkách odpovědnosti za škody způsobené například pádem stromů nebo jinými přirozenými procesy v krajině. Současně však navrhoval řešení omezené na oblast chráněných území a založené na ukládání nových povinností vlastníkům pozemků.  </w:t>
      </w:r>
    </w:p>
    <w:p w14:paraId="04C6D2CE" w14:textId="20FDC80B" w:rsidR="007B4479" w:rsidRPr="007B4479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t xml:space="preserve">Předkládaná úprava sleduje stejný cíl – posílení právní jistoty vlastníků pozemků i návštěvníků přírody – avšak činí tak systémovější cestou prostřednictvím občanského zákoníku a bez zavádění nových povinností vlastníkům pozemků.  </w:t>
      </w:r>
    </w:p>
    <w:p w14:paraId="29059781" w14:textId="2164542B" w:rsidR="007B4479" w:rsidRPr="007B4479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t xml:space="preserve">Současná právní úprava již vychází z principu, že osoba pohybující se v přírodním prostředí je povinna přizpůsobit své jednání podmínkám daného prostředí a dbát na vlastní bezpečnost. Tento princip je zakotven v § 63 odst. 5 zákona o ochraně přírody a krajiny i v § 19 odst. 2 lesního zákona. Oba předpisy zároveň vycházejí z toho, že vlastník pozemku zpravidla nenese odpovědnost za újmy vzniklé v důsledku běžných přírodních jevů nebo jednání samotných návštěvníků.  </w:t>
      </w:r>
    </w:p>
    <w:p w14:paraId="3788DE3C" w14:textId="23134851" w:rsidR="007B4479" w:rsidRPr="007B4479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lastRenderedPageBreak/>
        <w:t xml:space="preserve">Přesto v praxi vznikají pochybnosti o vztahu těchto zvláštních právních úprav k obecné úpravě náhrady újmy v občanském zákoníku. To může vést k nejistotě jak na straně vlastníků pozemků, tak na straně návštěvníků přírodního prostředí. Současně nelze přehlížet, že obdobné situace nenastávají pouze v chráněných územích, ale při pohybu ve volné krajině obecně.  </w:t>
      </w:r>
    </w:p>
    <w:p w14:paraId="748C33BA" w14:textId="0A881ED3" w:rsidR="007B4479" w:rsidRPr="007B4479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t xml:space="preserve">Některé dosud navrhované přístupy řešily tuto otázku prostřednictvím ukládání nových povinností vlastníkům pozemků. Takové řešení však může vést k opačnému efektu, než je zamýšleno. Pokud jsou vlastníkům ukládány nové povinnosti, vzniká současně prostor pro dovozování jejich odpovědnosti v případech, kdy některá z těchto povinností nebude splněna. Namísto posílení právní jistoty by tak mohlo dojít k jejímu oslabení. Současně by takový přístup mohl odrazovat vlastníky od toho, aby na svých pozemcích umožňovali vedení turistických tras, naučných stezek nebo jiných veřejně přístupných cest.  </w:t>
      </w:r>
    </w:p>
    <w:p w14:paraId="176BD333" w14:textId="415F929B" w:rsidR="007B4479" w:rsidRPr="007B4479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t xml:space="preserve">Problematické je zejména spojování odpovědnosti vlastníků s povinností zajišťovat průchodnost turistických tras a cest. Není přitom zřejmé, co přesně má být pod pojmem průchodnost rozuměno ani jaký rozsah povinností by z něj vyplýval. V praxi by mohlo jít například o odstraňování následků sněhových kalamit, popadaných stromů nebo jiných překážek i na rozsáhlých úsecích cest v obtížně přístupném terénu. Takový požadavek by představoval významnou zátěž pro vlastníky pozemků, a to i s ohledem na skutečnost, že obdobnou povinnost nestanoví ani právní úprava pozemních komunikací. Zároveň nelze přehlížet, že některá opatření prováděná za účelem zajištění průchodnosti mohou být sama o sobě problematická z hlediska ochrany přírody.  </w:t>
      </w:r>
    </w:p>
    <w:p w14:paraId="629A3367" w14:textId="35C9FFBA" w:rsidR="007B4479" w:rsidRPr="007B4479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t xml:space="preserve">Stejně tak není vhodné navazovat povinnosti vlastníků přímo na zásady péče. Tyto dokumenty jsou koncipovány jako odborné a koncepční podklady pro výkon ochrany přírody a pro rozhodovací činnost orgánů ochrany přírody. Jejich využití jako přímého základu pro vznik povinností vlastníků pozemků by bylo systémově nevhodné.  </w:t>
      </w:r>
    </w:p>
    <w:p w14:paraId="7AA97A94" w14:textId="11159B5A" w:rsidR="007B4479" w:rsidRPr="007B4479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t xml:space="preserve">Obdobně je třeba přistupovat i k případné povinnosti informovat návštěvníky o existujících rizicích. Informování o nebezpečí může být vhodným nástrojem prevence, avšak jeho absence by neměla automaticky zakládat možnost dovozovat pochybení vlastníka a jeho odpovědnost za vzniklou újmu. V řadě případů jsou totiž rizika spojená s pohybem v přírodním prostředí zjevná již ze své povahy a návštěvníci s nimi musí počítat. Vhodnější je proto posílit právní jistotu vlastníků jasným vymezením případů, kdy odpovědnost za újmu </w:t>
      </w:r>
      <w:proofErr w:type="gramStart"/>
      <w:r w:rsidRPr="007B4479">
        <w:rPr>
          <w:rFonts w:ascii="Arial" w:eastAsia="Calibri" w:hAnsi="Arial" w:cs="Arial"/>
          <w:lang w:eastAsia="cs-CZ"/>
        </w:rPr>
        <w:t>nevzniká,</w:t>
      </w:r>
      <w:proofErr w:type="gramEnd"/>
      <w:r w:rsidRPr="007B4479">
        <w:rPr>
          <w:rFonts w:ascii="Arial" w:eastAsia="Calibri" w:hAnsi="Arial" w:cs="Arial"/>
          <w:lang w:eastAsia="cs-CZ"/>
        </w:rPr>
        <w:t xml:space="preserve"> než vytvářet nové povinnosti, jejichž nesplnění by mohlo být následně vykládáno v jejich neprospěch.  </w:t>
      </w:r>
    </w:p>
    <w:p w14:paraId="25093090" w14:textId="3C4515BC" w:rsidR="007B4479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t xml:space="preserve">Navrhované řešení proto výslovně zakotvuje přímo v občanském zákoníku princip, že osoba pohybující se ve volné krajině nese odpovědnost za přizpůsobení svého jednání přírodním podmínkám a běžným rizikům s pobytem v přírodě spojeným. Zároveň stanoví, že vlastník pozemku mimo zastavěné území obce neodpovídá za újmu vzniklou v důsledku nebezpečí majících původ v přírodním prostředí.  </w:t>
      </w:r>
    </w:p>
    <w:p w14:paraId="0A8322EE" w14:textId="77777777" w:rsidR="00AA6CC3" w:rsidRDefault="00AA6CC3" w:rsidP="007B4479">
      <w:pPr>
        <w:jc w:val="both"/>
        <w:rPr>
          <w:rFonts w:ascii="Arial" w:eastAsia="Calibri" w:hAnsi="Arial" w:cs="Arial"/>
          <w:lang w:eastAsia="cs-CZ"/>
        </w:rPr>
      </w:pPr>
    </w:p>
    <w:p w14:paraId="17E28C66" w14:textId="77777777" w:rsidR="00AA6CC3" w:rsidRDefault="00AA6CC3" w:rsidP="007B4479">
      <w:pPr>
        <w:jc w:val="both"/>
        <w:rPr>
          <w:rFonts w:ascii="Arial" w:eastAsia="Calibri" w:hAnsi="Arial" w:cs="Arial"/>
          <w:lang w:eastAsia="cs-CZ"/>
        </w:rPr>
      </w:pPr>
    </w:p>
    <w:p w14:paraId="1262A5E8" w14:textId="77777777" w:rsidR="00AA6CC3" w:rsidRDefault="00AA6CC3" w:rsidP="007B4479">
      <w:pPr>
        <w:jc w:val="both"/>
        <w:rPr>
          <w:rFonts w:ascii="Arial" w:eastAsia="Calibri" w:hAnsi="Arial" w:cs="Arial"/>
          <w:lang w:eastAsia="cs-CZ"/>
        </w:rPr>
      </w:pPr>
    </w:p>
    <w:p w14:paraId="69503E5D" w14:textId="77777777" w:rsidR="00AA6CC3" w:rsidRPr="007B4479" w:rsidRDefault="00AA6CC3" w:rsidP="007B4479">
      <w:pPr>
        <w:jc w:val="both"/>
        <w:rPr>
          <w:rFonts w:ascii="Arial" w:eastAsia="Calibri" w:hAnsi="Arial" w:cs="Arial"/>
          <w:lang w:eastAsia="cs-CZ"/>
        </w:rPr>
      </w:pPr>
    </w:p>
    <w:p w14:paraId="19DE7869" w14:textId="04F574D6" w:rsidR="0049329B" w:rsidRDefault="007B4479" w:rsidP="007B4479">
      <w:pPr>
        <w:jc w:val="both"/>
        <w:rPr>
          <w:rFonts w:ascii="Arial" w:eastAsia="Calibri" w:hAnsi="Arial" w:cs="Arial"/>
          <w:lang w:eastAsia="cs-CZ"/>
        </w:rPr>
      </w:pPr>
      <w:r w:rsidRPr="007B4479">
        <w:rPr>
          <w:rFonts w:ascii="Arial" w:eastAsia="Calibri" w:hAnsi="Arial" w:cs="Arial"/>
          <w:lang w:eastAsia="cs-CZ"/>
        </w:rPr>
        <w:lastRenderedPageBreak/>
        <w:t>Oproti dílčím úpravám zaměřeným pouze na vybrané druhy území přináší navržená úprava jednotné a systémové řešení použitelné na celém území České republiky. Posiluje právní jistotu všech dotčených subjektů a zároveň zachovává rovnováhu mezi právem veřejnosti na pohyb v krajině a přiměřenou mírou odpovědnosti jednotlivce za vlastní bezpečnost při pobytu v přírodě.</w:t>
      </w:r>
    </w:p>
    <w:p w14:paraId="2302BF2C" w14:textId="77777777" w:rsidR="00AA6CC3" w:rsidRDefault="00AA6CC3" w:rsidP="007B4479">
      <w:pPr>
        <w:jc w:val="both"/>
        <w:rPr>
          <w:rFonts w:ascii="Arial" w:eastAsia="Calibri" w:hAnsi="Arial" w:cs="Arial"/>
          <w:lang w:eastAsia="cs-CZ"/>
        </w:rPr>
      </w:pPr>
    </w:p>
    <w:p w14:paraId="6AF7DE9A" w14:textId="2BC71640" w:rsidR="00AA6CC3" w:rsidRPr="006E61B7" w:rsidRDefault="00AA6CC3" w:rsidP="00AA6CC3">
      <w:pPr>
        <w:rPr>
          <w:rFonts w:ascii="Arial" w:hAnsi="Arial" w:cs="Arial"/>
        </w:rPr>
      </w:pPr>
      <w:r w:rsidRPr="006E61B7">
        <w:rPr>
          <w:rFonts w:ascii="Arial" w:hAnsi="Arial" w:cs="Arial"/>
        </w:rPr>
        <w:t xml:space="preserve">V Praze dne </w:t>
      </w:r>
      <w:r>
        <w:rPr>
          <w:rFonts w:ascii="Arial" w:hAnsi="Arial" w:cs="Arial"/>
        </w:rPr>
        <w:t>11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>6</w:t>
      </w:r>
      <w:r>
        <w:rPr>
          <w:rFonts w:ascii="Arial" w:hAnsi="Arial" w:cs="Arial"/>
        </w:rPr>
        <w:t>.2026</w:t>
      </w:r>
    </w:p>
    <w:p w14:paraId="42239C78" w14:textId="77777777" w:rsidR="00AA6CC3" w:rsidRPr="009A7AC3" w:rsidRDefault="00AA6CC3" w:rsidP="00AA6CC3">
      <w:pPr>
        <w:rPr>
          <w:rFonts w:ascii="Arial" w:hAnsi="Arial" w:cs="Arial"/>
        </w:rPr>
      </w:pPr>
    </w:p>
    <w:p w14:paraId="6B366CC0" w14:textId="77777777" w:rsidR="00AA6CC3" w:rsidRPr="009A7AC3" w:rsidRDefault="00AA6CC3" w:rsidP="00AA6CC3">
      <w:pPr>
        <w:jc w:val="center"/>
        <w:rPr>
          <w:rFonts w:ascii="Arial" w:hAnsi="Arial" w:cs="Arial"/>
        </w:rPr>
      </w:pPr>
      <w:r w:rsidRPr="009A7AC3">
        <w:rPr>
          <w:rFonts w:ascii="Arial" w:hAnsi="Arial" w:cs="Arial"/>
          <w:b/>
        </w:rPr>
        <w:t>Petr Hladík</w:t>
      </w:r>
    </w:p>
    <w:p w14:paraId="21F6F4B1" w14:textId="77777777" w:rsidR="00AA6CC3" w:rsidRPr="009A7AC3" w:rsidRDefault="00AA6CC3" w:rsidP="00AA6CC3">
      <w:pPr>
        <w:jc w:val="center"/>
        <w:rPr>
          <w:rFonts w:ascii="Arial" w:hAnsi="Arial" w:cs="Arial"/>
        </w:rPr>
      </w:pPr>
      <w:r w:rsidRPr="009A7AC3">
        <w:rPr>
          <w:rFonts w:ascii="Arial" w:hAnsi="Arial" w:cs="Arial"/>
        </w:rPr>
        <w:t>poslanec Parlamentu České republiky</w:t>
      </w:r>
    </w:p>
    <w:p w14:paraId="0E9CBDE8" w14:textId="77777777" w:rsidR="00AA6CC3" w:rsidRDefault="00AA6CC3" w:rsidP="007B4479">
      <w:pPr>
        <w:jc w:val="both"/>
        <w:rPr>
          <w:rFonts w:ascii="Arial" w:hAnsi="Arial" w:cs="Arial"/>
        </w:rPr>
      </w:pPr>
    </w:p>
    <w:sectPr w:rsidR="00AA6C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118A" w14:textId="77777777" w:rsidR="00FA0742" w:rsidRDefault="00FA0742">
      <w:pPr>
        <w:spacing w:line="240" w:lineRule="auto"/>
      </w:pPr>
      <w:r>
        <w:separator/>
      </w:r>
    </w:p>
  </w:endnote>
  <w:endnote w:type="continuationSeparator" w:id="0">
    <w:p w14:paraId="4CB8419E" w14:textId="77777777" w:rsidR="00FA0742" w:rsidRDefault="00FA0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A7C95" w14:textId="77777777" w:rsidR="00FA0742" w:rsidRDefault="00FA0742">
      <w:pPr>
        <w:spacing w:after="0"/>
      </w:pPr>
      <w:r>
        <w:separator/>
      </w:r>
    </w:p>
  </w:footnote>
  <w:footnote w:type="continuationSeparator" w:id="0">
    <w:p w14:paraId="1B04E27C" w14:textId="77777777" w:rsidR="00FA0742" w:rsidRDefault="00FA074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30"/>
    <w:rsid w:val="001F7C6E"/>
    <w:rsid w:val="003621C5"/>
    <w:rsid w:val="003D305D"/>
    <w:rsid w:val="0041591B"/>
    <w:rsid w:val="0049329B"/>
    <w:rsid w:val="004C3907"/>
    <w:rsid w:val="0052494C"/>
    <w:rsid w:val="005313A2"/>
    <w:rsid w:val="00566FDE"/>
    <w:rsid w:val="007B4479"/>
    <w:rsid w:val="00875830"/>
    <w:rsid w:val="0088392F"/>
    <w:rsid w:val="009F5486"/>
    <w:rsid w:val="00AA6CC3"/>
    <w:rsid w:val="00B04148"/>
    <w:rsid w:val="00D17C37"/>
    <w:rsid w:val="00DE17F4"/>
    <w:rsid w:val="00E149B7"/>
    <w:rsid w:val="00E54512"/>
    <w:rsid w:val="00EE12FA"/>
    <w:rsid w:val="00FA0742"/>
    <w:rsid w:val="4D4E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4E0E"/>
  <w15:docId w15:val="{FE7FC250-302C-4059-AF0C-A852A150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ormln1">
    <w:name w:val="Normální1"/>
    <w:qFormat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4</Pages>
  <Words>968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Jaromír Bláha</dc:creator>
  <cp:lastModifiedBy>Eva Lejsalová</cp:lastModifiedBy>
  <cp:revision>5</cp:revision>
  <dcterms:created xsi:type="dcterms:W3CDTF">2026-06-10T05:50:00Z</dcterms:created>
  <dcterms:modified xsi:type="dcterms:W3CDTF">2026-06-11T09:55:00Z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eyJoZGlkIjoiZDViZThiY2NkZTExOTI0OGVhYTQ5NzAyYjY5Y2Q4MGUiLCJ1c2VySWQiOiI2MzIyMTkzMTk1NTExIn0=</vt:lpwstr>
  </property>
  <property fmtid="{D5CDD505-2E9C-101B-9397-08002B2CF9AE}" pid="3" name="KSOProductBuildVer">
    <vt:lpwstr>1033-12.1.0.26880</vt:lpwstr>
  </property>
  <property fmtid="{D5CDD505-2E9C-101B-9397-08002B2CF9AE}" pid="4" name="ICV">
    <vt:lpwstr>1A9CBDF55B3941279C12A19A91C73267_12</vt:lpwstr>
  </property>
</Properties>
</file>