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866182">
      <w:pPr>
        <w:pStyle w:val="Podnadpis"/>
        <w:pBdr>
          <w:bottom w:val="nil"/>
        </w:pBdr>
        <w:spacing w:before="120" w:after="120"/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5A3F8" w14:textId="77777777" w:rsidR="00B447D1" w:rsidRDefault="00B447D1" w:rsidP="00866182">
      <w:pPr>
        <w:keepNext/>
        <w:keepLines/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38ED63" w14:textId="334648DA" w:rsidR="002F3503" w:rsidRDefault="002F3503" w:rsidP="00866182">
      <w:pPr>
        <w:keepNext/>
        <w:keepLines/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31BF735E" w:rsidR="002F3503" w:rsidRDefault="00A25687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Karla Haase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1A0F7C16" w:rsidR="00865D0A" w:rsidRPr="00752F96" w:rsidRDefault="003D1982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752F96">
        <w:rPr>
          <w:rFonts w:ascii="Times New Roman" w:eastAsia="Times New Roman" w:hAnsi="Times New Roman" w:cs="Times New Roman"/>
          <w:b/>
          <w:sz w:val="28"/>
          <w:szCs w:val="28"/>
        </w:rPr>
        <w:t xml:space="preserve">návrhu </w:t>
      </w:r>
      <w:bookmarkStart w:id="1" w:name="_Hlk230625269"/>
      <w:r w:rsidR="00865D0A" w:rsidRPr="00752F96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752F96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</w:rPr>
        <w:t>Macinky, Aleny Schillerové, Zuzany Schwarz Bařtipánové, Radima Fialy,</w:t>
      </w:r>
    </w:p>
    <w:p w14:paraId="6F009DAA" w14:textId="77777777" w:rsidR="00865D0A" w:rsidRPr="00752F96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</w:rPr>
        <w:t>Borise Šťastného, Vojtěcha Krňanského a Marie Pošarové na vydání</w:t>
      </w:r>
    </w:p>
    <w:p w14:paraId="05AD6A17" w14:textId="77777777" w:rsidR="00865D0A" w:rsidRPr="00752F96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Pr="00752F96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</w:rPr>
        <w:t xml:space="preserve">pozdějších předpisů, a některé další související zákony, </w:t>
      </w:r>
    </w:p>
    <w:p w14:paraId="31A7AAD3" w14:textId="2D1BE563" w:rsidR="002F3503" w:rsidRPr="00752F96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752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2F0CE7A5" w14:textId="77777777" w:rsidR="002F3503" w:rsidRPr="00752F96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1F77AA" w14:textId="6AFBD2FF" w:rsidR="002F3503" w:rsidRPr="00752F96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52F96"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 w:rsidRPr="00752F96">
        <w:rPr>
          <w:rFonts w:ascii="Times New Roman" w:eastAsia="Times New Roman" w:hAnsi="Times New Roman" w:cs="Times New Roman"/>
          <w:sz w:val="28"/>
          <w:szCs w:val="28"/>
        </w:rPr>
        <w:t>67</w:t>
      </w:r>
      <w:r w:rsidRPr="00752F9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5F96AA" w14:textId="5A23FD42" w:rsidR="00752F96" w:rsidRDefault="00F9033C" w:rsidP="00752F96">
      <w:pPr>
        <w:suppressAutoHyphens w:val="0"/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62DA1B7" w14:textId="77777777" w:rsidR="00752F96" w:rsidRPr="00752F96" w:rsidRDefault="00752F96" w:rsidP="00752F96">
      <w:pPr>
        <w:suppressAutoHyphens w:val="0"/>
        <w:spacing w:after="160" w:line="278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Pozměňovací návrh poslanců Karla Haase a Jiřího Havránka k návrhu poslanců Andreje Babiše, Karla Havlíčka, Tomia Okamury, Petra </w:t>
      </w:r>
      <w:proofErr w:type="spellStart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 zákona, kterým se mění zákon č. 283/2021 Sb., stavební zákon, ve znění pozdějších předpisů, a některé další související zákony, </w:t>
      </w:r>
      <w:r w:rsidRPr="00752F9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752F96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67):</w:t>
      </w:r>
    </w:p>
    <w:p w14:paraId="3FA1C2DF" w14:textId="77777777" w:rsidR="00752F96" w:rsidRPr="00752F96" w:rsidRDefault="00752F96" w:rsidP="00752F96">
      <w:pPr>
        <w:suppressAutoHyphens w:val="0"/>
        <w:spacing w:after="160" w:line="278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5E5C1" w14:textId="5C85D11E" w:rsidR="00752F96" w:rsidRDefault="00752F96" w:rsidP="00752F96">
      <w:pPr>
        <w:suppressAutoHyphens w:val="0"/>
        <w:spacing w:after="160" w:line="27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F96">
        <w:rPr>
          <w:rFonts w:ascii="Times New Roman" w:eastAsia="Times New Roman" w:hAnsi="Times New Roman" w:cs="Times New Roman"/>
          <w:bCs/>
          <w:sz w:val="24"/>
          <w:szCs w:val="24"/>
        </w:rPr>
        <w:t>Komplexní pozměňovací návrh se mění takto:</w:t>
      </w:r>
    </w:p>
    <w:p w14:paraId="646E039D" w14:textId="77777777" w:rsidR="00752F96" w:rsidRPr="00752F96" w:rsidRDefault="00752F96" w:rsidP="00752F96">
      <w:pPr>
        <w:suppressAutoHyphens w:val="0"/>
        <w:spacing w:after="160" w:line="27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35CDB" w14:textId="46390AC9" w:rsidR="003D1088" w:rsidRDefault="008F03D3" w:rsidP="005A3348">
      <w:pPr>
        <w:pStyle w:val="Odstavecseseznamem"/>
        <w:numPr>
          <w:ilvl w:val="0"/>
          <w:numId w:val="13"/>
        </w:numPr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1088">
        <w:rPr>
          <w:rFonts w:ascii="Times New Roman" w:eastAsia="Times New Roman" w:hAnsi="Times New Roman" w:cs="Times New Roman"/>
          <w:bCs/>
          <w:sz w:val="24"/>
          <w:szCs w:val="24"/>
        </w:rPr>
        <w:t xml:space="preserve">V části první, čl. I, se </w:t>
      </w:r>
      <w:r w:rsidR="00B06F9F">
        <w:rPr>
          <w:rFonts w:ascii="Times New Roman" w:eastAsia="Times New Roman" w:hAnsi="Times New Roman" w:cs="Times New Roman"/>
          <w:bCs/>
          <w:sz w:val="24"/>
          <w:szCs w:val="24"/>
        </w:rPr>
        <w:t xml:space="preserve">za bod 182 </w:t>
      </w:r>
      <w:r w:rsidR="003D1088" w:rsidRPr="003D1088">
        <w:rPr>
          <w:rFonts w:ascii="Times New Roman" w:eastAsia="Times New Roman" w:hAnsi="Times New Roman" w:cs="Times New Roman"/>
          <w:bCs/>
          <w:sz w:val="24"/>
          <w:szCs w:val="24"/>
        </w:rPr>
        <w:t>vkládá nový bod 183</w:t>
      </w:r>
      <w:r w:rsidR="00B06F9F">
        <w:rPr>
          <w:rFonts w:ascii="Times New Roman" w:eastAsia="Times New Roman" w:hAnsi="Times New Roman" w:cs="Times New Roman"/>
          <w:bCs/>
          <w:sz w:val="24"/>
          <w:szCs w:val="24"/>
        </w:rPr>
        <w:t>, který zní:</w:t>
      </w:r>
    </w:p>
    <w:p w14:paraId="3CE87048" w14:textId="78B7C624" w:rsidR="0090516B" w:rsidRDefault="0090516B" w:rsidP="005A3348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„</w:t>
      </w:r>
      <w:r w:rsidRPr="0090516B">
        <w:rPr>
          <w:rFonts w:ascii="Times New Roman" w:eastAsia="Times New Roman" w:hAnsi="Times New Roman" w:cs="Times New Roman"/>
          <w:bCs/>
          <w:sz w:val="24"/>
          <w:szCs w:val="24"/>
        </w:rPr>
        <w:t>18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0516B">
        <w:rPr>
          <w:rFonts w:ascii="Times New Roman" w:eastAsia="Times New Roman" w:hAnsi="Times New Roman" w:cs="Times New Roman"/>
          <w:bCs/>
          <w:sz w:val="24"/>
          <w:szCs w:val="24"/>
        </w:rPr>
        <w:t xml:space="preserve">. V § 85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se doplňuje odstavec 3</w:t>
      </w:r>
      <w:r w:rsidRPr="0090516B">
        <w:rPr>
          <w:rFonts w:ascii="Times New Roman" w:eastAsia="Times New Roman" w:hAnsi="Times New Roman" w:cs="Times New Roman"/>
          <w:bCs/>
          <w:sz w:val="24"/>
          <w:szCs w:val="24"/>
        </w:rPr>
        <w:t>, kter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ý</w:t>
      </w:r>
      <w:r w:rsidRPr="0090516B">
        <w:rPr>
          <w:rFonts w:ascii="Times New Roman" w:eastAsia="Times New Roman" w:hAnsi="Times New Roman" w:cs="Times New Roman"/>
          <w:bCs/>
          <w:sz w:val="24"/>
          <w:szCs w:val="24"/>
        </w:rPr>
        <w:t xml:space="preserve"> zní:</w:t>
      </w:r>
    </w:p>
    <w:p w14:paraId="4982D755" w14:textId="29BF9C51" w:rsidR="005A3348" w:rsidRDefault="005A3348" w:rsidP="005A3348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„</w:t>
      </w:r>
      <w:r w:rsidRPr="005A3348">
        <w:rPr>
          <w:rFonts w:ascii="Times New Roman" w:eastAsia="Times New Roman" w:hAnsi="Times New Roman" w:cs="Times New Roman"/>
          <w:bCs/>
          <w:sz w:val="24"/>
          <w:szCs w:val="24"/>
        </w:rPr>
        <w:t>(3) Regulační plán se považuje za rozhodnutí v části věci v řízení o povolení záměru podle části šesté.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“.“.</w:t>
      </w:r>
    </w:p>
    <w:p w14:paraId="6428504A" w14:textId="18FE87B1" w:rsidR="003D1088" w:rsidRDefault="003D1088" w:rsidP="005A3348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Následující body se přečíslují.</w:t>
      </w:r>
    </w:p>
    <w:p w14:paraId="0D9CD562" w14:textId="77777777" w:rsidR="003D1088" w:rsidRDefault="003D1088" w:rsidP="005A3348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88E58A" w14:textId="55077B5C" w:rsidR="00CF112F" w:rsidRDefault="00CF112F" w:rsidP="00CF112F">
      <w:pPr>
        <w:pStyle w:val="Odstavecseseznamem"/>
        <w:numPr>
          <w:ilvl w:val="0"/>
          <w:numId w:val="13"/>
        </w:numPr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1088">
        <w:rPr>
          <w:rFonts w:ascii="Times New Roman" w:eastAsia="Times New Roman" w:hAnsi="Times New Roman" w:cs="Times New Roman"/>
          <w:bCs/>
          <w:sz w:val="24"/>
          <w:szCs w:val="24"/>
        </w:rPr>
        <w:t xml:space="preserve">V části první, čl. I, se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za bod </w:t>
      </w:r>
      <w:r w:rsidR="00CA101D">
        <w:rPr>
          <w:rFonts w:ascii="Times New Roman" w:eastAsia="Times New Roman" w:hAnsi="Times New Roman" w:cs="Times New Roman"/>
          <w:bCs/>
          <w:sz w:val="24"/>
          <w:szCs w:val="24"/>
        </w:rPr>
        <w:t>434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D1088">
        <w:rPr>
          <w:rFonts w:ascii="Times New Roman" w:eastAsia="Times New Roman" w:hAnsi="Times New Roman" w:cs="Times New Roman"/>
          <w:bCs/>
          <w:sz w:val="24"/>
          <w:szCs w:val="24"/>
        </w:rPr>
        <w:t xml:space="preserve">vkládá nový bod </w:t>
      </w:r>
      <w:r w:rsidR="00CA101D">
        <w:rPr>
          <w:rFonts w:ascii="Times New Roman" w:eastAsia="Times New Roman" w:hAnsi="Times New Roman" w:cs="Times New Roman"/>
          <w:bCs/>
          <w:sz w:val="24"/>
          <w:szCs w:val="24"/>
        </w:rPr>
        <w:t>435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který zní:</w:t>
      </w:r>
    </w:p>
    <w:p w14:paraId="531C241A" w14:textId="00B65803" w:rsidR="00E02BA2" w:rsidRDefault="00AE22FE" w:rsidP="00AE22FE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„435</w:t>
      </w:r>
      <w:r w:rsidRPr="0090516B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>V § 193 se doplňuj</w:t>
      </w:r>
      <w:r w:rsidR="00E02BA2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 xml:space="preserve"> odstav</w:t>
      </w:r>
      <w:r w:rsidR="00E02BA2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 xml:space="preserve">c </w:t>
      </w:r>
      <w:r w:rsidR="00E02BA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>, kter</w:t>
      </w:r>
      <w:r w:rsidR="00E02BA2">
        <w:rPr>
          <w:rFonts w:ascii="Times New Roman" w:eastAsia="Times New Roman" w:hAnsi="Times New Roman" w:cs="Times New Roman"/>
          <w:bCs/>
          <w:sz w:val="24"/>
          <w:szCs w:val="24"/>
        </w:rPr>
        <w:t>ý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 xml:space="preserve"> zní:</w:t>
      </w:r>
    </w:p>
    <w:p w14:paraId="28277077" w14:textId="54B34495" w:rsidR="00AE22FE" w:rsidRDefault="00AE22FE" w:rsidP="00E02BA2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„</w:t>
      </w:r>
      <w:r w:rsidR="00E02BA2" w:rsidRPr="00E02BA2">
        <w:rPr>
          <w:rFonts w:ascii="Times New Roman" w:eastAsia="Times New Roman" w:hAnsi="Times New Roman" w:cs="Times New Roman"/>
          <w:bCs/>
          <w:sz w:val="24"/>
          <w:szCs w:val="24"/>
        </w:rPr>
        <w:t>(7) Jde-li o záměr podle § 85 odst. 3, posuzuje stavební úřad splnění podmínek podle odstavce 1 pouze v rozsahu, ve kterém nebyly posouzeny při vydání regulačního plánu</w:t>
      </w:r>
      <w:r w:rsidRPr="005A334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“.“.</w:t>
      </w:r>
    </w:p>
    <w:p w14:paraId="0C125C4D" w14:textId="77777777" w:rsidR="00AE22FE" w:rsidRDefault="00AE22FE" w:rsidP="00E02BA2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Následující body se přečíslují.</w:t>
      </w:r>
    </w:p>
    <w:p w14:paraId="573D8B15" w14:textId="77777777" w:rsidR="00CF112F" w:rsidRDefault="00CF112F" w:rsidP="00AE22FE">
      <w:pPr>
        <w:pStyle w:val="Odstavecseseznamem"/>
        <w:spacing w:before="120" w:after="12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8A5ED6" w14:textId="77777777" w:rsidR="00F9033C" w:rsidRDefault="00F9033C" w:rsidP="008F03D3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DF3248" w14:textId="4839B2BA" w:rsidR="008F03D3" w:rsidRPr="008F03D3" w:rsidRDefault="008F03D3" w:rsidP="008F03D3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3D3">
        <w:rPr>
          <w:rFonts w:ascii="Times New Roman" w:eastAsia="Times New Roman" w:hAnsi="Times New Roman" w:cs="Times New Roman"/>
          <w:b/>
          <w:bCs/>
          <w:sz w:val="24"/>
          <w:szCs w:val="24"/>
        </w:rPr>
        <w:t>Odůvodnění:</w:t>
      </w:r>
    </w:p>
    <w:p w14:paraId="69D7356E" w14:textId="77777777" w:rsidR="006B4355" w:rsidRDefault="001B6B92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6B92">
        <w:rPr>
          <w:rFonts w:ascii="Times New Roman" w:eastAsia="Times New Roman" w:hAnsi="Times New Roman" w:cs="Times New Roman"/>
          <w:bCs/>
          <w:sz w:val="24"/>
          <w:szCs w:val="24"/>
        </w:rPr>
        <w:t xml:space="preserve">Cílem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tohoto návrhu je doplnit chybějící přínosy pro </w:t>
      </w:r>
      <w:r w:rsidR="00B96A40">
        <w:rPr>
          <w:rFonts w:ascii="Times New Roman" w:eastAsia="Times New Roman" w:hAnsi="Times New Roman" w:cs="Times New Roman"/>
          <w:bCs/>
          <w:sz w:val="24"/>
          <w:szCs w:val="24"/>
        </w:rPr>
        <w:t xml:space="preserve">vyšší míru pořizování regulačních plánů v území. Podle současné, </w:t>
      </w:r>
      <w:r w:rsidR="009846F0">
        <w:rPr>
          <w:rFonts w:ascii="Times New Roman" w:eastAsia="Times New Roman" w:hAnsi="Times New Roman" w:cs="Times New Roman"/>
          <w:bCs/>
          <w:sz w:val="24"/>
          <w:szCs w:val="24"/>
        </w:rPr>
        <w:t xml:space="preserve">ale </w:t>
      </w:r>
      <w:r w:rsidR="00B96A40">
        <w:rPr>
          <w:rFonts w:ascii="Times New Roman" w:eastAsia="Times New Roman" w:hAnsi="Times New Roman" w:cs="Times New Roman"/>
          <w:bCs/>
          <w:sz w:val="24"/>
          <w:szCs w:val="24"/>
        </w:rPr>
        <w:t xml:space="preserve">i podle navržené právní úpravy </w:t>
      </w:r>
      <w:r w:rsidR="009846F0">
        <w:rPr>
          <w:rFonts w:ascii="Times New Roman" w:eastAsia="Times New Roman" w:hAnsi="Times New Roman" w:cs="Times New Roman"/>
          <w:bCs/>
          <w:sz w:val="24"/>
          <w:szCs w:val="24"/>
        </w:rPr>
        <w:t xml:space="preserve">totiž </w:t>
      </w:r>
      <w:r w:rsidR="00B96A40">
        <w:rPr>
          <w:rFonts w:ascii="Times New Roman" w:eastAsia="Times New Roman" w:hAnsi="Times New Roman" w:cs="Times New Roman"/>
          <w:bCs/>
          <w:sz w:val="24"/>
          <w:szCs w:val="24"/>
        </w:rPr>
        <w:t xml:space="preserve">pořízení regulačního plánu stavebníkovi ani svému okolí nic podstatného nepřináší. </w:t>
      </w:r>
    </w:p>
    <w:p w14:paraId="248131D4" w14:textId="7D9EEE16" w:rsidR="008F03D3" w:rsidRDefault="00B96A40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Přitom předchozí právní úprava v § 61 odst. 2 věta druhá stavebního zákona č. 183/2006 Sb., </w:t>
      </w:r>
      <w:r w:rsidR="00607909" w:rsidRPr="00607909"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="006B4355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="00607909" w:rsidRPr="00607909">
        <w:rPr>
          <w:rFonts w:ascii="Times New Roman" w:eastAsia="Times New Roman" w:hAnsi="Times New Roman" w:cs="Times New Roman"/>
          <w:bCs/>
          <w:sz w:val="24"/>
          <w:szCs w:val="24"/>
        </w:rPr>
        <w:t>územním plánování a stavebním řádu (stavební zákon)</w:t>
      </w:r>
      <w:r w:rsidR="00607909">
        <w:rPr>
          <w:rFonts w:ascii="Times New Roman" w:eastAsia="Times New Roman" w:hAnsi="Times New Roman" w:cs="Times New Roman"/>
          <w:bCs/>
          <w:sz w:val="24"/>
          <w:szCs w:val="24"/>
        </w:rPr>
        <w:t>, počítala s tím, že regulační plán mohl nahradit územní rozhodnutí. Bylo tomu tak proto, že otázky umístění staveb byly v podrobnosti regulačního plánu již vyřešeny a postačovalo proto doplnit stavební povolení</w:t>
      </w:r>
      <w:r w:rsidR="006B4355">
        <w:rPr>
          <w:rFonts w:ascii="Times New Roman" w:eastAsia="Times New Roman" w:hAnsi="Times New Roman" w:cs="Times New Roman"/>
          <w:bCs/>
          <w:sz w:val="24"/>
          <w:szCs w:val="24"/>
        </w:rPr>
        <w:t>, aniž by bylo nutné posuzovat stejné otázky znovu v územním řízení</w:t>
      </w:r>
      <w:r w:rsidR="0060790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9D2A286" w14:textId="016CE135" w:rsidR="00607909" w:rsidRDefault="00A778A5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Tento návrh se myšlenkově vrací k popsané úpravě s tím, že v současné situaci – kdy již neexistují samostatná územní rozhodnutí a stavební povolení – je navrhováno, aby regulační plán nahradil část povolení záměru, a to v</w:t>
      </w:r>
      <w:r w:rsidR="00255E90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rozsahu</w:t>
      </w:r>
      <w:r w:rsidR="00255E90">
        <w:rPr>
          <w:rFonts w:ascii="Times New Roman" w:eastAsia="Times New Roman" w:hAnsi="Times New Roman" w:cs="Times New Roman"/>
          <w:bCs/>
          <w:sz w:val="24"/>
          <w:szCs w:val="24"/>
        </w:rPr>
        <w:t xml:space="preserve"> v něm obsažených regulativů. Právně lze k tomu využít institut rozhodnutí v části věci, který je známý např. z přechodných ustanoveních </w:t>
      </w:r>
      <w:r w:rsidR="00255E9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 § 330 odst. 6</w:t>
      </w:r>
      <w:r w:rsidR="003C50F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1701E6">
        <w:rPr>
          <w:rFonts w:ascii="Times New Roman" w:eastAsia="Times New Roman" w:hAnsi="Times New Roman" w:cs="Times New Roman"/>
          <w:bCs/>
          <w:sz w:val="24"/>
          <w:szCs w:val="24"/>
        </w:rPr>
        <w:t xml:space="preserve"> Tím se zajistí, aby již </w:t>
      </w:r>
      <w:r w:rsidR="00051B18">
        <w:rPr>
          <w:rFonts w:ascii="Times New Roman" w:eastAsia="Times New Roman" w:hAnsi="Times New Roman" w:cs="Times New Roman"/>
          <w:bCs/>
          <w:sz w:val="24"/>
          <w:szCs w:val="24"/>
        </w:rPr>
        <w:t xml:space="preserve">jednou </w:t>
      </w:r>
      <w:r w:rsidR="001701E6">
        <w:rPr>
          <w:rFonts w:ascii="Times New Roman" w:eastAsia="Times New Roman" w:hAnsi="Times New Roman" w:cs="Times New Roman"/>
          <w:bCs/>
          <w:sz w:val="24"/>
          <w:szCs w:val="24"/>
        </w:rPr>
        <w:t xml:space="preserve">posouzené </w:t>
      </w:r>
      <w:r w:rsidR="00502D95">
        <w:rPr>
          <w:rFonts w:ascii="Times New Roman" w:eastAsia="Times New Roman" w:hAnsi="Times New Roman" w:cs="Times New Roman"/>
          <w:bCs/>
          <w:sz w:val="24"/>
          <w:szCs w:val="24"/>
        </w:rPr>
        <w:t xml:space="preserve">a vyřešené </w:t>
      </w:r>
      <w:r w:rsidR="001701E6">
        <w:rPr>
          <w:rFonts w:ascii="Times New Roman" w:eastAsia="Times New Roman" w:hAnsi="Times New Roman" w:cs="Times New Roman"/>
          <w:bCs/>
          <w:sz w:val="24"/>
          <w:szCs w:val="24"/>
        </w:rPr>
        <w:t xml:space="preserve">otázky </w:t>
      </w:r>
      <w:r w:rsidR="00502D95">
        <w:rPr>
          <w:rFonts w:ascii="Times New Roman" w:eastAsia="Times New Roman" w:hAnsi="Times New Roman" w:cs="Times New Roman"/>
          <w:bCs/>
          <w:sz w:val="24"/>
          <w:szCs w:val="24"/>
        </w:rPr>
        <w:t xml:space="preserve">v územním plánování </w:t>
      </w:r>
      <w:r w:rsidR="001701E6">
        <w:rPr>
          <w:rFonts w:ascii="Times New Roman" w:eastAsia="Times New Roman" w:hAnsi="Times New Roman" w:cs="Times New Roman"/>
          <w:bCs/>
          <w:sz w:val="24"/>
          <w:szCs w:val="24"/>
        </w:rPr>
        <w:t xml:space="preserve">nebyly řešeny </w:t>
      </w:r>
      <w:r w:rsidR="00502D95">
        <w:rPr>
          <w:rFonts w:ascii="Times New Roman" w:eastAsia="Times New Roman" w:hAnsi="Times New Roman" w:cs="Times New Roman"/>
          <w:bCs/>
          <w:sz w:val="24"/>
          <w:szCs w:val="24"/>
        </w:rPr>
        <w:t xml:space="preserve">obsahově znovu </w:t>
      </w:r>
      <w:r w:rsidR="00051B18">
        <w:rPr>
          <w:rFonts w:ascii="Times New Roman" w:eastAsia="Times New Roman" w:hAnsi="Times New Roman" w:cs="Times New Roman"/>
          <w:bCs/>
          <w:sz w:val="24"/>
          <w:szCs w:val="24"/>
        </w:rPr>
        <w:t xml:space="preserve">v rámci povolování záměru. Tím jsou </w:t>
      </w:r>
      <w:r w:rsidR="00950877">
        <w:rPr>
          <w:rFonts w:ascii="Times New Roman" w:eastAsia="Times New Roman" w:hAnsi="Times New Roman" w:cs="Times New Roman"/>
          <w:bCs/>
          <w:sz w:val="24"/>
          <w:szCs w:val="24"/>
        </w:rPr>
        <w:t xml:space="preserve">zároveň 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lépe a důsledněji </w:t>
      </w:r>
      <w:r w:rsidR="00051B18">
        <w:rPr>
          <w:rFonts w:ascii="Times New Roman" w:eastAsia="Times New Roman" w:hAnsi="Times New Roman" w:cs="Times New Roman"/>
          <w:bCs/>
          <w:sz w:val="24"/>
          <w:szCs w:val="24"/>
        </w:rPr>
        <w:t>naplňovány principy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, které sleduje celý návrh 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viz zejm. 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>§ 2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 odst. 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>4, § 171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 odst. 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>2, § 190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 xml:space="preserve"> odst. 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 xml:space="preserve">1 věta 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>třetí</w:t>
      </w:r>
      <w:r w:rsidR="00950877" w:rsidRPr="0095087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F27C0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9C7474B" w14:textId="3C49C0E5" w:rsidR="003C50F9" w:rsidRPr="001B6B92" w:rsidRDefault="003C50F9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Dopovolení záměru, včetně posouzení závazných stanovisek</w:t>
      </w:r>
      <w:r w:rsidR="005C1DB8">
        <w:rPr>
          <w:rFonts w:ascii="Times New Roman" w:eastAsia="Times New Roman" w:hAnsi="Times New Roman" w:cs="Times New Roman"/>
          <w:bCs/>
          <w:sz w:val="24"/>
          <w:szCs w:val="24"/>
        </w:rPr>
        <w:t xml:space="preserve"> dotčených orgánů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5C1DB8">
        <w:rPr>
          <w:rFonts w:ascii="Times New Roman" w:eastAsia="Times New Roman" w:hAnsi="Times New Roman" w:cs="Times New Roman"/>
          <w:bCs/>
          <w:sz w:val="24"/>
          <w:szCs w:val="24"/>
        </w:rPr>
        <w:t xml:space="preserve">vyjádření vlastníků sítí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námitek </w:t>
      </w:r>
      <w:r w:rsidR="005C1DB8">
        <w:rPr>
          <w:rFonts w:ascii="Times New Roman" w:eastAsia="Times New Roman" w:hAnsi="Times New Roman" w:cs="Times New Roman"/>
          <w:bCs/>
          <w:sz w:val="24"/>
          <w:szCs w:val="24"/>
        </w:rPr>
        <w:t xml:space="preserve">účastníků řízení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se provede</w:t>
      </w:r>
      <w:r w:rsidR="005C1DB8">
        <w:rPr>
          <w:rFonts w:ascii="Times New Roman" w:eastAsia="Times New Roman" w:hAnsi="Times New Roman" w:cs="Times New Roman"/>
          <w:bCs/>
          <w:sz w:val="24"/>
          <w:szCs w:val="24"/>
        </w:rPr>
        <w:t xml:space="preserve"> jen v</w:t>
      </w:r>
      <w:r w:rsidR="009846F0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="005C1DB8">
        <w:rPr>
          <w:rFonts w:ascii="Times New Roman" w:eastAsia="Times New Roman" w:hAnsi="Times New Roman" w:cs="Times New Roman"/>
          <w:bCs/>
          <w:sz w:val="24"/>
          <w:szCs w:val="24"/>
        </w:rPr>
        <w:t>rozsahu</w:t>
      </w:r>
      <w:r w:rsidR="009846F0">
        <w:rPr>
          <w:rFonts w:ascii="Times New Roman" w:eastAsia="Times New Roman" w:hAnsi="Times New Roman" w:cs="Times New Roman"/>
          <w:bCs/>
          <w:sz w:val="24"/>
          <w:szCs w:val="24"/>
        </w:rPr>
        <w:t>, v jakém nedošlo k jejich posouzení při pořizování a schválení regulačního plánu.</w:t>
      </w:r>
    </w:p>
    <w:p w14:paraId="004F9C9A" w14:textId="77777777" w:rsidR="009303CA" w:rsidRDefault="009303CA">
      <w:pPr>
        <w:suppressAutoHyphens w:val="0"/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lk230729026"/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1C7FF75" w14:textId="1C158302" w:rsidR="00B4352E" w:rsidRDefault="00B4352E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2"/>
    <w:p w14:paraId="309FFDDA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4DA5F94" w14:textId="15253E2B" w:rsidR="00B4352E" w:rsidRPr="00DD11E3" w:rsidRDefault="00B4352E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C81585">
        <w:rPr>
          <w:rFonts w:ascii="Times New Roman" w:hAnsi="Times New Roman" w:cs="Times New Roman"/>
          <w:b/>
          <w:bCs/>
          <w:color w:val="0070C0"/>
          <w:sz w:val="24"/>
          <w:szCs w:val="24"/>
        </w:rPr>
        <w:t>modře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DD11E3">
        <w:rPr>
          <w:rFonts w:ascii="Times New Roman" w:hAnsi="Times New Roman" w:cs="Times New Roman"/>
          <w:sz w:val="24"/>
          <w:szCs w:val="24"/>
        </w:rPr>
        <w:t>změny obsažené v tomto PN</w:t>
      </w:r>
      <w:bookmarkEnd w:id="3"/>
    </w:p>
    <w:p w14:paraId="0B32C20C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Zákon č. 283/2021 Sb., </w:t>
      </w:r>
    </w:p>
    <w:p w14:paraId="354AF2A5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DD11E3" w:rsidDel="009E74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AFFF99" w14:textId="77777777" w:rsidR="00B4352E" w:rsidRDefault="00B4352E" w:rsidP="00866182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bookmarkStart w:id="5" w:name="_Hlk230729068"/>
      <w:bookmarkEnd w:id="4"/>
    </w:p>
    <w:p w14:paraId="090214D8" w14:textId="77777777" w:rsidR="00754BD9" w:rsidRPr="00D23D0E" w:rsidRDefault="00754BD9" w:rsidP="00866182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Regulační plán</w:t>
      </w:r>
    </w:p>
    <w:p w14:paraId="2FE655F2" w14:textId="77777777" w:rsidR="00754BD9" w:rsidRPr="00D23D0E" w:rsidRDefault="00754BD9" w:rsidP="00866182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z w:val="24"/>
          <w:szCs w:val="24"/>
        </w:rPr>
        <w:t>§ 85</w:t>
      </w:r>
    </w:p>
    <w:p w14:paraId="327BF696" w14:textId="77777777" w:rsidR="00754BD9" w:rsidRPr="00D23D0E" w:rsidRDefault="00754BD9" w:rsidP="00866182">
      <w:pPr>
        <w:widowControl w:val="0"/>
        <w:spacing w:before="120" w:after="120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(1) Regulační plán v řešeném území stanoví podrobné podmínky pro</w:t>
      </w:r>
    </w:p>
    <w:p w14:paraId="58AFB1E1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a) vymezení a využití pozemků,</w:t>
      </w:r>
    </w:p>
    <w:p w14:paraId="6747F953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b) umístění a prostorové uspořádání staveb, včetně jejich napojení na veřejnou dopravní a technickou infrastrukturu, a urbanistických a architektonických podmínek,</w:t>
      </w:r>
    </w:p>
    <w:p w14:paraId="4F34D744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c) umístění a prostorové uspořádání staveb veřejné infrastruktury,</w:t>
      </w:r>
    </w:p>
    <w:p w14:paraId="39333E0B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d) ochranu hodnot, charakteru území a krajinného rázu.</w:t>
      </w:r>
    </w:p>
    <w:p w14:paraId="7DE00CE0" w14:textId="77777777" w:rsidR="00754BD9" w:rsidRPr="00D23D0E" w:rsidRDefault="00754BD9" w:rsidP="00866182">
      <w:pPr>
        <w:widowControl w:val="0"/>
        <w:spacing w:before="120" w:after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lk224924520"/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 xml:space="preserve">(1) Regulační plán v řešeném území stanoví podrobné podmínky pro vymezení a využití pozemků. </w:t>
      </w:r>
    </w:p>
    <w:bookmarkEnd w:id="6"/>
    <w:p w14:paraId="175AE843" w14:textId="77777777" w:rsidR="00754BD9" w:rsidRPr="00D23D0E" w:rsidRDefault="00754BD9" w:rsidP="00866182">
      <w:pPr>
        <w:widowControl w:val="0"/>
        <w:spacing w:before="120" w:after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(2) Regulační plán dále </w:t>
      </w: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zpravidla stanoví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 xml:space="preserve"> může stanovit zejména</w:t>
      </w:r>
    </w:p>
    <w:p w14:paraId="158D019F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z w:val="24"/>
          <w:szCs w:val="24"/>
        </w:rPr>
        <w:t>a) uliční a stavební čáry,</w:t>
      </w:r>
    </w:p>
    <w:p w14:paraId="5D83FBD7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b) umístění a prostorové uspořádání staveb, včetně jejich napojení na veřejnou dopravní a technickou infrastrukturu, a urbanistických a architektonických podmínek,</w:t>
      </w:r>
    </w:p>
    <w:p w14:paraId="2B614119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b)</w:t>
      </w:r>
      <w:r w:rsidRPr="00D23D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vzájemné odstupy staveb a odstupy staveb od hranice pozemku,</w:t>
      </w:r>
    </w:p>
    <w:p w14:paraId="4D0B1554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c)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půdorysnou velikost stavby, výšku, objem </w:t>
      </w:r>
      <w:bookmarkStart w:id="7" w:name="_Hlk224924722"/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nebo požadavky na vnější vzhled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7"/>
      <w:r w:rsidRPr="00D23D0E">
        <w:rPr>
          <w:rFonts w:ascii="Times New Roman" w:eastAsia="Times New Roman" w:hAnsi="Times New Roman" w:cs="Times New Roman"/>
          <w:sz w:val="24"/>
          <w:szCs w:val="24"/>
        </w:rPr>
        <w:t>a tvar stavby,</w:t>
      </w:r>
    </w:p>
    <w:p w14:paraId="3D3E08AA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d)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 xml:space="preserve">e) </w:t>
      </w:r>
      <w:r w:rsidRPr="00D23D0E">
        <w:rPr>
          <w:rFonts w:ascii="Times New Roman" w:eastAsia="Times New Roman" w:hAnsi="Times New Roman" w:cs="Times New Roman"/>
          <w:bCs/>
          <w:sz w:val="24"/>
          <w:szCs w:val="24"/>
        </w:rPr>
        <w:t>základní údaje o kapacitě stavby,</w:t>
      </w:r>
    </w:p>
    <w:p w14:paraId="0FDF30BC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e)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f)</w:t>
      </w:r>
      <w:r w:rsidRPr="00D23D0E">
        <w:rPr>
          <w:rFonts w:ascii="Times New Roman" w:eastAsia="Times New Roman" w:hAnsi="Times New Roman" w:cs="Times New Roman"/>
          <w:bCs/>
          <w:sz w:val="24"/>
          <w:szCs w:val="24"/>
        </w:rPr>
        <w:t xml:space="preserve"> určení částí pozemku, které mohou být zastavěny, nebo zastavitelnost pozemku dalšími stavbami,</w:t>
      </w:r>
    </w:p>
    <w:p w14:paraId="005D6103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f)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g)</w:t>
      </w:r>
      <w:r w:rsidRPr="00D23D0E">
        <w:rPr>
          <w:rFonts w:ascii="Times New Roman" w:eastAsia="Times New Roman" w:hAnsi="Times New Roman" w:cs="Times New Roman"/>
          <w:bCs/>
          <w:sz w:val="24"/>
          <w:szCs w:val="24"/>
        </w:rPr>
        <w:t xml:space="preserve"> základní podmínky pro požární ochranu,</w:t>
      </w:r>
    </w:p>
    <w:p w14:paraId="195F52DC" w14:textId="77777777" w:rsidR="00754BD9" w:rsidRPr="00D23D0E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23D0E">
        <w:rPr>
          <w:rFonts w:ascii="Times New Roman" w:eastAsia="Times New Roman" w:hAnsi="Times New Roman" w:cs="Times New Roman"/>
          <w:strike/>
          <w:sz w:val="24"/>
          <w:szCs w:val="24"/>
        </w:rPr>
        <w:t>g)</w:t>
      </w:r>
      <w:r w:rsidRPr="00D23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h)</w:t>
      </w:r>
      <w:r w:rsidRPr="00D23D0E">
        <w:rPr>
          <w:rFonts w:ascii="Times New Roman" w:eastAsia="Times New Roman" w:hAnsi="Times New Roman" w:cs="Times New Roman"/>
          <w:bCs/>
          <w:sz w:val="24"/>
          <w:szCs w:val="24"/>
        </w:rPr>
        <w:t xml:space="preserve"> podmínky pro příznivé životní prostředí a zelenou infrastrukturu, včetně vymezení a využití pozemků územního systému ekologické stability</w:t>
      </w:r>
      <w:r w:rsidRPr="00D23D0E">
        <w:rPr>
          <w:rFonts w:ascii="Times New Roman" w:eastAsia="Times New Roman" w:hAnsi="Times New Roman" w:cs="Times New Roman"/>
          <w:bCs/>
          <w:strike/>
          <w:sz w:val="24"/>
          <w:szCs w:val="24"/>
        </w:rPr>
        <w:t>.</w:t>
      </w:r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23D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8FA8030" w14:textId="77777777" w:rsidR="00754BD9" w:rsidRDefault="00754BD9" w:rsidP="00866182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lk224924759"/>
      <w:r w:rsidRPr="00D23D0E">
        <w:rPr>
          <w:rFonts w:ascii="Times New Roman" w:eastAsia="Times New Roman" w:hAnsi="Times New Roman" w:cs="Times New Roman"/>
          <w:b/>
          <w:sz w:val="24"/>
          <w:szCs w:val="24"/>
        </w:rPr>
        <w:t>i) podmínky pro ochranu hodnot, charakteru území nebo krajinného rázu.</w:t>
      </w:r>
    </w:p>
    <w:p w14:paraId="4F47FD04" w14:textId="244E090A" w:rsidR="00754BD9" w:rsidRPr="00754BD9" w:rsidRDefault="00754BD9" w:rsidP="00866182">
      <w:pPr>
        <w:widowControl w:val="0"/>
        <w:spacing w:before="120" w:after="120"/>
        <w:ind w:firstLine="708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754BD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(3) </w:t>
      </w:r>
      <w:r w:rsidR="00C252CD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egulační plán</w:t>
      </w:r>
      <w:r w:rsidR="00C252CD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se </w:t>
      </w:r>
      <w:r w:rsidR="00FE730C" w:rsidRPr="00AF2A3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považuje za rozhodnutí v části věci v řízení o povolení záměru podle části šesté</w:t>
      </w:r>
      <w:r w:rsidR="00D62298" w:rsidRPr="00F8241F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.</w:t>
      </w:r>
      <w:r w:rsidR="00FE730C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</w:t>
      </w:r>
    </w:p>
    <w:bookmarkEnd w:id="5"/>
    <w:bookmarkEnd w:id="8"/>
    <w:p w14:paraId="277072A9" w14:textId="77777777" w:rsidR="00156E14" w:rsidRPr="00840785" w:rsidRDefault="00156E14" w:rsidP="00156E14">
      <w:pPr>
        <w:widowControl w:val="0"/>
        <w:spacing w:before="12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lastRenderedPageBreak/>
        <w:t>§ 193</w:t>
      </w:r>
    </w:p>
    <w:p w14:paraId="1FEB77B1" w14:textId="77777777" w:rsidR="00156E14" w:rsidRPr="00840785" w:rsidRDefault="00156E14" w:rsidP="00156E14">
      <w:pPr>
        <w:widowControl w:val="0"/>
        <w:spacing w:before="120"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Posuzování záměru</w:t>
      </w:r>
    </w:p>
    <w:p w14:paraId="275B80EB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(1) Stavební úřad posuzuje, zda je záměr v souladu s</w:t>
      </w:r>
    </w:p>
    <w:p w14:paraId="7C6D7303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a) územně plánovací dokumentací, územními opatřeními a vymezením </w:t>
      </w:r>
      <w:r w:rsidRPr="00840785">
        <w:rPr>
          <w:rFonts w:ascii="Times New Roman" w:eastAsia="Times New Roman" w:hAnsi="Times New Roman" w:cs="Times New Roman"/>
          <w:strike/>
          <w:sz w:val="24"/>
          <w:szCs w:val="24"/>
        </w:rPr>
        <w:t>zastavěného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zastavitelného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území, </w:t>
      </w:r>
    </w:p>
    <w:p w14:paraId="0DE22A69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b) cíli a úkoly územního plánování, zejména s charakterem území a s požadavky na ochranu kulturně historických, architektonických a urbanistických hodnot v území, nemá-li obec </w:t>
      </w:r>
      <w:r w:rsidRPr="00840785">
        <w:rPr>
          <w:rFonts w:ascii="Times New Roman" w:eastAsia="Times New Roman" w:hAnsi="Times New Roman" w:cs="Times New Roman"/>
          <w:strike/>
          <w:sz w:val="24"/>
          <w:szCs w:val="24"/>
        </w:rPr>
        <w:t xml:space="preserve">vydán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pro dané území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územní plán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nebo regulační plán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881BC69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c) požadavky tohoto zákona a jeho prováděcích právních předpisů</w:t>
      </w:r>
      <w:bookmarkStart w:id="9" w:name="_Hlk225156983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0" w:name="_Hlk225859830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 xml:space="preserve">s výjimkou </w:t>
      </w:r>
      <w:bookmarkEnd w:id="9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technických požadavků na stavby, za jejichž splnění v dokumentaci pro povolení záměru odpovídá projektant nebo osoba uvedená v § 156 odst. 2</w:t>
      </w:r>
      <w:bookmarkEnd w:id="10"/>
      <w:r w:rsidRPr="00840785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425DFCF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d) požadavky jiných právních předpisů chránících dotčené veřejné zájmy,</w:t>
      </w:r>
    </w:p>
    <w:p w14:paraId="1C07F5F9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e) požadavky na veřejnou dopravní nebo technickou infrastrukturu,</w:t>
      </w:r>
    </w:p>
    <w:p w14:paraId="787408E7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f) ochranou práv a právem chráněných zájmů účastníků řízení,</w:t>
      </w:r>
    </w:p>
    <w:p w14:paraId="16866FA5" w14:textId="77777777" w:rsidR="00156E14" w:rsidRPr="00840785" w:rsidRDefault="00156E14" w:rsidP="00156E14">
      <w:pPr>
        <w:widowControl w:val="0"/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které hodnotí a poměřuje ve vzájemných souvislostech </w:t>
      </w:r>
      <w:bookmarkStart w:id="11" w:name="_Hlk225157018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podle zásad uvedených v § 1a</w:t>
      </w:r>
      <w:bookmarkEnd w:id="11"/>
      <w:r w:rsidRPr="00840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5CBCF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Hlk219989935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(2) Se souhlasem toho, kdo územně plánovací dokumentaci, územní opatření nebo vymezení zastavitelného území vydal, a se souhlasem vlastníka pozemku, pokud by se jinak vyžadoval podle § 187, se záměr může odchýlit od územně plánovací dokumentace, územního opatření nebo vymezení zastavitelného území, pokud nenaruší veřejné zájmy a nedotkne se jiných osob, ochranných pásem nebo koridorů</w:t>
      </w:r>
      <w:r w:rsidRPr="0084078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 xml:space="preserve"> Pro ochranná pásma platí možnost odchýlení se od jejich vymezení se souhlasem toho, v jehož zájmu jsou vymezena, přiměřeně.</w:t>
      </w:r>
    </w:p>
    <w:bookmarkEnd w:id="12"/>
    <w:p w14:paraId="481886E3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0785">
        <w:rPr>
          <w:rFonts w:ascii="Times New Roman" w:eastAsia="Times New Roman" w:hAnsi="Times New Roman" w:cs="Times New Roman"/>
          <w:strike/>
          <w:sz w:val="24"/>
          <w:szCs w:val="24"/>
        </w:rPr>
        <w:t>2)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(3)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Při posuzování souladu záměru s požadavky jiných právních předpisů</w:t>
      </w:r>
      <w:bookmarkStart w:id="13" w:name="_Hlk225157110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, které není oprávněn posoudit sám,</w:t>
      </w:r>
      <w:bookmarkEnd w:id="13"/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vychází stavební úřad z vyjádření nebo závazného stanoviska dotčeného orgánu nebo z výsledků řešení rozporů</w:t>
      </w:r>
      <w:bookmarkStart w:id="14" w:name="_Hlk225157127"/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Stavební úřad nepřihlíží k vyjádřením a závazným stanoviskům dotčených orgánů v částech, v nichž překračují jejich působnost, a ve věcech, o nichž bylo rozhodnuto již při vydání územně plánovací dokumentace.</w:t>
      </w:r>
      <w:r w:rsidRPr="00840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14"/>
      <w:r w:rsidRPr="00840785">
        <w:rPr>
          <w:rFonts w:ascii="Times New Roman" w:eastAsia="Times New Roman" w:hAnsi="Times New Roman" w:cs="Times New Roman"/>
          <w:sz w:val="24"/>
          <w:szCs w:val="24"/>
        </w:rPr>
        <w:t>Na vyžádání stavebního úřadu vydá dotčený orgán do 5 dnů sdělení k návrhům, námitkám, vyjádřením nebo návrhům důkazů účastníků řízení, které se týkají jím chráněného veřejného zájmu.</w:t>
      </w:r>
    </w:p>
    <w:p w14:paraId="6FFB7F44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5" w:name="_Hlk225157156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(4) Při posuzování souladu záměru s požadavky vlastníků veřejné dopravní a technické infrastruktury, s výjimkou technické infrastruktury, s níž je příslušné hospodařit Ministerstvo obrany, Ministerstvo vnitra nebo Vězeňská služba České republiky, stavební úřad vychází jimi vydaných vyjádření a z údajů uvedených v digitální technické mapě týkajících se existence sítí a vlastníků této infrastruktury. Má se za to, že sítě, které nejsou uvedeny v digitální technické mapě, neexistují, a případné následky jdou k tíži vlastníka veřejné dopravní a technické infrastruktury.</w:t>
      </w:r>
    </w:p>
    <w:p w14:paraId="1E4E3483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 xml:space="preserve">(5) Při posuzování ochrany práv a právem chráněných zájmů účastníků řízení stavební úřad vychází z jejich vlastních včasných a přípustných námitek podle § 190 až § </w:t>
      </w: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191. Nepřípustné jsou námitky účastníka, k nimž se podle zákona nepřihlíží. Nepřípustné námitky stavební úřad nevypořádává. Námitky, které nespočívají v porušení právních předpisů, nejsou důvodné.</w:t>
      </w:r>
    </w:p>
    <w:p w14:paraId="39415324" w14:textId="77777777" w:rsidR="00156E14" w:rsidRPr="00840785" w:rsidRDefault="00156E14" w:rsidP="00156E14">
      <w:pPr>
        <w:widowControl w:val="0"/>
        <w:spacing w:before="120" w:after="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 xml:space="preserve">(6) </w:t>
      </w:r>
      <w:bookmarkStart w:id="16" w:name="_Hlk225860030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Splnění podmínek podle odstavce 1 se posuzuje ke dni podání žádosti; to platí i v odvolacím, přezkumném, soudním a opakovaném řízení. Pokud o to stavebník požádá, posuzuje se splnění podmínek podle odstavce 1 ke dni rozhodnutí</w:t>
      </w:r>
      <w:bookmarkEnd w:id="16"/>
      <w:r w:rsidRPr="00840785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bookmarkEnd w:id="15"/>
    <w:p w14:paraId="356DFD7A" w14:textId="6DB9D394" w:rsidR="008E33A4" w:rsidRDefault="00BD0C0B" w:rsidP="00F234F5">
      <w:pPr>
        <w:widowControl w:val="0"/>
        <w:spacing w:before="120" w:after="120"/>
        <w:ind w:firstLine="708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754BD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7</w:t>
      </w:r>
      <w:r w:rsidRPr="00754BD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Jde-li o záměr podle § 85 odst. 3, posuzuje stavební úřad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splnění podmínek</w:t>
      </w:r>
      <w:r w:rsidR="00F234F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podle odstavce 1 </w:t>
      </w:r>
      <w:r w:rsidR="00F234F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pouze</w:t>
      </w:r>
      <w:r w:rsidR="00117EE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F234F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v rozsahu, ve </w:t>
      </w:r>
      <w:r w:rsidR="00117EE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které</w:t>
      </w:r>
      <w:r w:rsidR="00F234F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m nebyly </w:t>
      </w:r>
      <w:r w:rsidR="00117EE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posouzeny </w:t>
      </w:r>
      <w:r w:rsidR="00F234F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při vydání regulačního plánu.</w:t>
      </w:r>
    </w:p>
    <w:p w14:paraId="4A7E9B56" w14:textId="77777777" w:rsidR="00F234F5" w:rsidRPr="005A70B9" w:rsidRDefault="00F234F5" w:rsidP="00F234F5">
      <w:pPr>
        <w:widowControl w:val="0"/>
        <w:spacing w:before="120" w:after="12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5A70B9" w:rsidRDefault="00E62695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5A70B9">
        <w:rPr>
          <w:rFonts w:ascii="Times New Roman" w:hAnsi="Times New Roman" w:cs="Times New Roman"/>
          <w:sz w:val="24"/>
          <w:szCs w:val="24"/>
        </w:rPr>
        <w:t>Karel Haas</w:t>
      </w:r>
    </w:p>
    <w:p w14:paraId="0C8049D1" w14:textId="77777777" w:rsidR="00E62695" w:rsidRPr="005A70B9" w:rsidRDefault="00E62695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5A70B9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5A70B9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7A87" w14:textId="77777777" w:rsidR="003A5157" w:rsidRDefault="003A5157" w:rsidP="00F74BD5">
      <w:pPr>
        <w:spacing w:after="0" w:line="240" w:lineRule="auto"/>
      </w:pPr>
      <w:r>
        <w:separator/>
      </w:r>
    </w:p>
  </w:endnote>
  <w:endnote w:type="continuationSeparator" w:id="0">
    <w:p w14:paraId="38223815" w14:textId="77777777" w:rsidR="003A5157" w:rsidRDefault="003A5157" w:rsidP="00F7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7364" w14:textId="77777777" w:rsidR="003A5157" w:rsidRDefault="003A5157" w:rsidP="00F74BD5">
      <w:pPr>
        <w:spacing w:after="0" w:line="240" w:lineRule="auto"/>
      </w:pPr>
      <w:r>
        <w:separator/>
      </w:r>
    </w:p>
  </w:footnote>
  <w:footnote w:type="continuationSeparator" w:id="0">
    <w:p w14:paraId="07893ED9" w14:textId="77777777" w:rsidR="003A5157" w:rsidRDefault="003A5157" w:rsidP="00F7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44B95"/>
    <w:multiLevelType w:val="multilevel"/>
    <w:tmpl w:val="B9FA1B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BDD"/>
    <w:multiLevelType w:val="hybridMultilevel"/>
    <w:tmpl w:val="1CA07806"/>
    <w:lvl w:ilvl="0" w:tplc="F2C88B1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255A5"/>
    <w:multiLevelType w:val="hybridMultilevel"/>
    <w:tmpl w:val="5352D348"/>
    <w:lvl w:ilvl="0" w:tplc="4E240EE2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BFB32EE"/>
    <w:multiLevelType w:val="hybridMultilevel"/>
    <w:tmpl w:val="83F60D54"/>
    <w:lvl w:ilvl="0" w:tplc="4D6CADD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824D9"/>
    <w:multiLevelType w:val="hybridMultilevel"/>
    <w:tmpl w:val="A1BA0B54"/>
    <w:lvl w:ilvl="0" w:tplc="90DA9D00">
      <w:start w:val="1"/>
      <w:numFmt w:val="decimal"/>
      <w:lvlText w:val="(%1)"/>
      <w:lvlJc w:val="left"/>
      <w:pPr>
        <w:ind w:left="1065" w:hanging="360"/>
      </w:pPr>
    </w:lvl>
    <w:lvl w:ilvl="1" w:tplc="04050019">
      <w:start w:val="1"/>
      <w:numFmt w:val="lowerLetter"/>
      <w:lvlText w:val="%2."/>
      <w:lvlJc w:val="left"/>
      <w:pPr>
        <w:ind w:left="1785" w:hanging="360"/>
      </w:pPr>
    </w:lvl>
    <w:lvl w:ilvl="2" w:tplc="0405001B">
      <w:start w:val="1"/>
      <w:numFmt w:val="lowerRoman"/>
      <w:lvlText w:val="%3."/>
      <w:lvlJc w:val="right"/>
      <w:pPr>
        <w:ind w:left="2505" w:hanging="180"/>
      </w:pPr>
    </w:lvl>
    <w:lvl w:ilvl="3" w:tplc="0405000F">
      <w:start w:val="1"/>
      <w:numFmt w:val="decimal"/>
      <w:lvlText w:val="%4."/>
      <w:lvlJc w:val="left"/>
      <w:pPr>
        <w:ind w:left="3225" w:hanging="360"/>
      </w:pPr>
    </w:lvl>
    <w:lvl w:ilvl="4" w:tplc="04050019">
      <w:start w:val="1"/>
      <w:numFmt w:val="lowerLetter"/>
      <w:lvlText w:val="%5."/>
      <w:lvlJc w:val="left"/>
      <w:pPr>
        <w:ind w:left="3945" w:hanging="360"/>
      </w:pPr>
    </w:lvl>
    <w:lvl w:ilvl="5" w:tplc="0405001B">
      <w:start w:val="1"/>
      <w:numFmt w:val="lowerRoman"/>
      <w:lvlText w:val="%6."/>
      <w:lvlJc w:val="right"/>
      <w:pPr>
        <w:ind w:left="4665" w:hanging="180"/>
      </w:pPr>
    </w:lvl>
    <w:lvl w:ilvl="6" w:tplc="0405000F">
      <w:start w:val="1"/>
      <w:numFmt w:val="decimal"/>
      <w:lvlText w:val="%7."/>
      <w:lvlJc w:val="left"/>
      <w:pPr>
        <w:ind w:left="5385" w:hanging="360"/>
      </w:pPr>
    </w:lvl>
    <w:lvl w:ilvl="7" w:tplc="04050019">
      <w:start w:val="1"/>
      <w:numFmt w:val="lowerLetter"/>
      <w:lvlText w:val="%8."/>
      <w:lvlJc w:val="left"/>
      <w:pPr>
        <w:ind w:left="6105" w:hanging="360"/>
      </w:pPr>
    </w:lvl>
    <w:lvl w:ilvl="8" w:tplc="0405001B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59816EB8"/>
    <w:multiLevelType w:val="hybridMultilevel"/>
    <w:tmpl w:val="041E669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C3A10"/>
    <w:multiLevelType w:val="hybridMultilevel"/>
    <w:tmpl w:val="A1BA0B54"/>
    <w:lvl w:ilvl="0" w:tplc="FFFFFFFF">
      <w:start w:val="1"/>
      <w:numFmt w:val="decimal"/>
      <w:lvlText w:val="(%1)"/>
      <w:lvlJc w:val="left"/>
      <w:pPr>
        <w:ind w:left="1065" w:hanging="360"/>
      </w:pPr>
    </w:lvl>
    <w:lvl w:ilvl="1" w:tplc="FFFFFFFF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>
      <w:start w:val="1"/>
      <w:numFmt w:val="decimal"/>
      <w:lvlText w:val="%4."/>
      <w:lvlJc w:val="left"/>
      <w:pPr>
        <w:ind w:left="3225" w:hanging="360"/>
      </w:pPr>
    </w:lvl>
    <w:lvl w:ilvl="4" w:tplc="FFFFFFFF">
      <w:start w:val="1"/>
      <w:numFmt w:val="lowerLetter"/>
      <w:lvlText w:val="%5."/>
      <w:lvlJc w:val="left"/>
      <w:pPr>
        <w:ind w:left="3945" w:hanging="360"/>
      </w:pPr>
    </w:lvl>
    <w:lvl w:ilvl="5" w:tplc="FFFFFFFF">
      <w:start w:val="1"/>
      <w:numFmt w:val="lowerRoman"/>
      <w:lvlText w:val="%6."/>
      <w:lvlJc w:val="right"/>
      <w:pPr>
        <w:ind w:left="4665" w:hanging="180"/>
      </w:pPr>
    </w:lvl>
    <w:lvl w:ilvl="6" w:tplc="FFFFFFFF">
      <w:start w:val="1"/>
      <w:numFmt w:val="decimal"/>
      <w:lvlText w:val="%7."/>
      <w:lvlJc w:val="left"/>
      <w:pPr>
        <w:ind w:left="5385" w:hanging="360"/>
      </w:pPr>
    </w:lvl>
    <w:lvl w:ilvl="7" w:tplc="FFFFFFFF">
      <w:start w:val="1"/>
      <w:numFmt w:val="lowerLetter"/>
      <w:lvlText w:val="%8."/>
      <w:lvlJc w:val="left"/>
      <w:pPr>
        <w:ind w:left="6105" w:hanging="360"/>
      </w:pPr>
    </w:lvl>
    <w:lvl w:ilvl="8" w:tplc="FFFFFFFF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12"/>
  </w:num>
  <w:num w:numId="3" w16cid:durableId="926159642">
    <w:abstractNumId w:val="11"/>
  </w:num>
  <w:num w:numId="4" w16cid:durableId="1013724023">
    <w:abstractNumId w:val="10"/>
  </w:num>
  <w:num w:numId="5" w16cid:durableId="762189207">
    <w:abstractNumId w:val="5"/>
  </w:num>
  <w:num w:numId="6" w16cid:durableId="2094205377">
    <w:abstractNumId w:val="2"/>
  </w:num>
  <w:num w:numId="7" w16cid:durableId="1893536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07476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09825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841632">
    <w:abstractNumId w:val="3"/>
  </w:num>
  <w:num w:numId="11" w16cid:durableId="115032092">
    <w:abstractNumId w:val="6"/>
  </w:num>
  <w:num w:numId="12" w16cid:durableId="1816021177">
    <w:abstractNumId w:val="4"/>
  </w:num>
  <w:num w:numId="13" w16cid:durableId="627782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3309F"/>
    <w:rsid w:val="00040BBA"/>
    <w:rsid w:val="00051397"/>
    <w:rsid w:val="00051B18"/>
    <w:rsid w:val="000601B2"/>
    <w:rsid w:val="0006566D"/>
    <w:rsid w:val="000834F2"/>
    <w:rsid w:val="000945AE"/>
    <w:rsid w:val="000A466F"/>
    <w:rsid w:val="000A6FD2"/>
    <w:rsid w:val="000B5DEE"/>
    <w:rsid w:val="000C4E6C"/>
    <w:rsid w:val="000D2CA0"/>
    <w:rsid w:val="000D4DC3"/>
    <w:rsid w:val="000D5878"/>
    <w:rsid w:val="000E154E"/>
    <w:rsid w:val="000F1980"/>
    <w:rsid w:val="00117EE7"/>
    <w:rsid w:val="00136653"/>
    <w:rsid w:val="00136EED"/>
    <w:rsid w:val="00137A69"/>
    <w:rsid w:val="001461CE"/>
    <w:rsid w:val="00156E14"/>
    <w:rsid w:val="00160A62"/>
    <w:rsid w:val="001701E6"/>
    <w:rsid w:val="00181C88"/>
    <w:rsid w:val="00185506"/>
    <w:rsid w:val="00191375"/>
    <w:rsid w:val="001A5E97"/>
    <w:rsid w:val="001B6B92"/>
    <w:rsid w:val="001D4C8A"/>
    <w:rsid w:val="001F3FC3"/>
    <w:rsid w:val="00207E8E"/>
    <w:rsid w:val="002274C3"/>
    <w:rsid w:val="0022791C"/>
    <w:rsid w:val="00246CDA"/>
    <w:rsid w:val="00255E90"/>
    <w:rsid w:val="00294651"/>
    <w:rsid w:val="002A236B"/>
    <w:rsid w:val="002E0744"/>
    <w:rsid w:val="002F3503"/>
    <w:rsid w:val="003313A6"/>
    <w:rsid w:val="0033515B"/>
    <w:rsid w:val="00383F41"/>
    <w:rsid w:val="003867EB"/>
    <w:rsid w:val="00390E77"/>
    <w:rsid w:val="003A5157"/>
    <w:rsid w:val="003C50F9"/>
    <w:rsid w:val="003D1088"/>
    <w:rsid w:val="003D1982"/>
    <w:rsid w:val="003F17FE"/>
    <w:rsid w:val="003F67CD"/>
    <w:rsid w:val="00415A59"/>
    <w:rsid w:val="00421ACF"/>
    <w:rsid w:val="00426154"/>
    <w:rsid w:val="00473338"/>
    <w:rsid w:val="00485102"/>
    <w:rsid w:val="004965EF"/>
    <w:rsid w:val="004A4437"/>
    <w:rsid w:val="004B3317"/>
    <w:rsid w:val="004B6659"/>
    <w:rsid w:val="004C5C0D"/>
    <w:rsid w:val="00501712"/>
    <w:rsid w:val="00502D95"/>
    <w:rsid w:val="005051CD"/>
    <w:rsid w:val="00515A40"/>
    <w:rsid w:val="00525762"/>
    <w:rsid w:val="0053682A"/>
    <w:rsid w:val="00540188"/>
    <w:rsid w:val="005545B3"/>
    <w:rsid w:val="005558E0"/>
    <w:rsid w:val="005710B7"/>
    <w:rsid w:val="00573649"/>
    <w:rsid w:val="00592638"/>
    <w:rsid w:val="005A3348"/>
    <w:rsid w:val="005A70B9"/>
    <w:rsid w:val="005B71EE"/>
    <w:rsid w:val="005C0C03"/>
    <w:rsid w:val="005C1DB8"/>
    <w:rsid w:val="005C724B"/>
    <w:rsid w:val="005F1981"/>
    <w:rsid w:val="005F2E3F"/>
    <w:rsid w:val="0060156B"/>
    <w:rsid w:val="0060450E"/>
    <w:rsid w:val="00607909"/>
    <w:rsid w:val="0065280B"/>
    <w:rsid w:val="006539EA"/>
    <w:rsid w:val="00660EA3"/>
    <w:rsid w:val="00665F11"/>
    <w:rsid w:val="00676806"/>
    <w:rsid w:val="00692302"/>
    <w:rsid w:val="006B4355"/>
    <w:rsid w:val="006C632A"/>
    <w:rsid w:val="006C7951"/>
    <w:rsid w:val="006E6DEE"/>
    <w:rsid w:val="006F4B73"/>
    <w:rsid w:val="0070392B"/>
    <w:rsid w:val="00706188"/>
    <w:rsid w:val="0071534F"/>
    <w:rsid w:val="00752F96"/>
    <w:rsid w:val="007535CC"/>
    <w:rsid w:val="007541C1"/>
    <w:rsid w:val="00754BD9"/>
    <w:rsid w:val="00767836"/>
    <w:rsid w:val="00776176"/>
    <w:rsid w:val="00786579"/>
    <w:rsid w:val="007A5B72"/>
    <w:rsid w:val="007A6DD0"/>
    <w:rsid w:val="007B5C14"/>
    <w:rsid w:val="007C0AF2"/>
    <w:rsid w:val="008023DD"/>
    <w:rsid w:val="00804111"/>
    <w:rsid w:val="00861F77"/>
    <w:rsid w:val="00865D0A"/>
    <w:rsid w:val="00866182"/>
    <w:rsid w:val="008702C1"/>
    <w:rsid w:val="0087572D"/>
    <w:rsid w:val="008E33A4"/>
    <w:rsid w:val="008E7FF7"/>
    <w:rsid w:val="008F03D3"/>
    <w:rsid w:val="008F0640"/>
    <w:rsid w:val="008F5D54"/>
    <w:rsid w:val="0090516B"/>
    <w:rsid w:val="009303CA"/>
    <w:rsid w:val="00936FC5"/>
    <w:rsid w:val="00950877"/>
    <w:rsid w:val="009738CA"/>
    <w:rsid w:val="009846F0"/>
    <w:rsid w:val="009956BD"/>
    <w:rsid w:val="009C5152"/>
    <w:rsid w:val="009C6984"/>
    <w:rsid w:val="00A00E41"/>
    <w:rsid w:val="00A12575"/>
    <w:rsid w:val="00A203A4"/>
    <w:rsid w:val="00A25687"/>
    <w:rsid w:val="00A40957"/>
    <w:rsid w:val="00A44D09"/>
    <w:rsid w:val="00A4516B"/>
    <w:rsid w:val="00A63CC7"/>
    <w:rsid w:val="00A778A5"/>
    <w:rsid w:val="00A946D0"/>
    <w:rsid w:val="00AA047A"/>
    <w:rsid w:val="00AA25FE"/>
    <w:rsid w:val="00AC26FF"/>
    <w:rsid w:val="00AC2DF9"/>
    <w:rsid w:val="00AD0B2A"/>
    <w:rsid w:val="00AE2241"/>
    <w:rsid w:val="00AE22FE"/>
    <w:rsid w:val="00AE296D"/>
    <w:rsid w:val="00AF2A35"/>
    <w:rsid w:val="00B06F9F"/>
    <w:rsid w:val="00B14AFD"/>
    <w:rsid w:val="00B25B90"/>
    <w:rsid w:val="00B35479"/>
    <w:rsid w:val="00B4352E"/>
    <w:rsid w:val="00B447D1"/>
    <w:rsid w:val="00B44BC9"/>
    <w:rsid w:val="00B76345"/>
    <w:rsid w:val="00B96A40"/>
    <w:rsid w:val="00BB233C"/>
    <w:rsid w:val="00BD0C0B"/>
    <w:rsid w:val="00BD0ED8"/>
    <w:rsid w:val="00BF179D"/>
    <w:rsid w:val="00BF71E7"/>
    <w:rsid w:val="00C16E81"/>
    <w:rsid w:val="00C23999"/>
    <w:rsid w:val="00C252CD"/>
    <w:rsid w:val="00C25B4F"/>
    <w:rsid w:val="00C418E1"/>
    <w:rsid w:val="00C57181"/>
    <w:rsid w:val="00C67BE9"/>
    <w:rsid w:val="00C81585"/>
    <w:rsid w:val="00C874DA"/>
    <w:rsid w:val="00C94A33"/>
    <w:rsid w:val="00C96991"/>
    <w:rsid w:val="00CA101D"/>
    <w:rsid w:val="00CB7A6C"/>
    <w:rsid w:val="00CD3F68"/>
    <w:rsid w:val="00CE69C1"/>
    <w:rsid w:val="00CF112F"/>
    <w:rsid w:val="00D51875"/>
    <w:rsid w:val="00D62298"/>
    <w:rsid w:val="00D6415A"/>
    <w:rsid w:val="00DA2461"/>
    <w:rsid w:val="00DA29FA"/>
    <w:rsid w:val="00DA602C"/>
    <w:rsid w:val="00DB2C22"/>
    <w:rsid w:val="00DB36B1"/>
    <w:rsid w:val="00DC43C8"/>
    <w:rsid w:val="00DC5FE2"/>
    <w:rsid w:val="00DF0D58"/>
    <w:rsid w:val="00DF412E"/>
    <w:rsid w:val="00E015B0"/>
    <w:rsid w:val="00E0281E"/>
    <w:rsid w:val="00E02BA2"/>
    <w:rsid w:val="00E07254"/>
    <w:rsid w:val="00E37DBC"/>
    <w:rsid w:val="00E62695"/>
    <w:rsid w:val="00E62E18"/>
    <w:rsid w:val="00E70C11"/>
    <w:rsid w:val="00E7125E"/>
    <w:rsid w:val="00E90112"/>
    <w:rsid w:val="00EB036D"/>
    <w:rsid w:val="00EB6440"/>
    <w:rsid w:val="00EE2C75"/>
    <w:rsid w:val="00EF28DF"/>
    <w:rsid w:val="00F05078"/>
    <w:rsid w:val="00F1798E"/>
    <w:rsid w:val="00F234F5"/>
    <w:rsid w:val="00F2691D"/>
    <w:rsid w:val="00F27C0E"/>
    <w:rsid w:val="00F474DB"/>
    <w:rsid w:val="00F7183A"/>
    <w:rsid w:val="00F74BD5"/>
    <w:rsid w:val="00F82175"/>
    <w:rsid w:val="00F8241F"/>
    <w:rsid w:val="00F87697"/>
    <w:rsid w:val="00F9033C"/>
    <w:rsid w:val="00F96AA2"/>
    <w:rsid w:val="00FA38A5"/>
    <w:rsid w:val="00FA5CBA"/>
    <w:rsid w:val="00FB6599"/>
    <w:rsid w:val="00FC5688"/>
    <w:rsid w:val="00FD340B"/>
    <w:rsid w:val="00FD41A4"/>
    <w:rsid w:val="00FD62BE"/>
    <w:rsid w:val="00FE730C"/>
    <w:rsid w:val="00FF2E6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F42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74BD5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hlavChar">
    <w:name w:val="Záhlaví Char"/>
    <w:basedOn w:val="Standardnpsmoodstavce"/>
    <w:link w:val="Zhlav"/>
    <w:uiPriority w:val="99"/>
    <w:rsid w:val="00F74BD5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F74BD5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patChar">
    <w:name w:val="Zápatí Char"/>
    <w:basedOn w:val="Standardnpsmoodstavce"/>
    <w:link w:val="Zpat"/>
    <w:uiPriority w:val="99"/>
    <w:rsid w:val="00F74BD5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3FD92-9A20-42A0-B3AB-BCA592CFA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1213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2026-06-11T08:11:00Z</dcterms:created>
  <dcterms:modified xsi:type="dcterms:W3CDTF">2026-06-11T12:26:00Z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5a8442-68f3-4087-8f05-d564bed44e92_Enabled">
    <vt:lpwstr>true</vt:lpwstr>
  </property>
  <property fmtid="{D5CDD505-2E9C-101B-9397-08002B2CF9AE}" pid="3" name="MSIP_Label_f15a8442-68f3-4087-8f05-d564bed44e92_SetDate">
    <vt:lpwstr>2026-06-11T08:11:47Z</vt:lpwstr>
  </property>
  <property fmtid="{D5CDD505-2E9C-101B-9397-08002B2CF9AE}" pid="4" name="MSIP_Label_f15a8442-68f3-4087-8f05-d564bed44e92_Method">
    <vt:lpwstr>Standard</vt:lpwstr>
  </property>
  <property fmtid="{D5CDD505-2E9C-101B-9397-08002B2CF9AE}" pid="5" name="MSIP_Label_f15a8442-68f3-4087-8f05-d564bed44e92_Name">
    <vt:lpwstr>97171605-0670-4512-b8c8-ebe12520d29a</vt:lpwstr>
  </property>
  <property fmtid="{D5CDD505-2E9C-101B-9397-08002B2CF9AE}" pid="6" name="MSIP_Label_f15a8442-68f3-4087-8f05-d564bed44e92_SiteId">
    <vt:lpwstr>138f17b0-6ad5-4ddf-a195-24e73c3655fd</vt:lpwstr>
  </property>
  <property fmtid="{D5CDD505-2E9C-101B-9397-08002B2CF9AE}" pid="7" name="MSIP_Label_f15a8442-68f3-4087-8f05-d564bed44e92_ActionId">
    <vt:lpwstr>5f97239e-bd97-40c5-95f3-ab989782e44b</vt:lpwstr>
  </property>
  <property fmtid="{D5CDD505-2E9C-101B-9397-08002B2CF9AE}" pid="8" name="MSIP_Label_f15a8442-68f3-4087-8f05-d564bed44e92_ContentBits">
    <vt:lpwstr>0</vt:lpwstr>
  </property>
  <property fmtid="{D5CDD505-2E9C-101B-9397-08002B2CF9AE}" pid="9" name="MSIP_Label_f15a8442-68f3-4087-8f05-d564bed44e92_Tag">
    <vt:lpwstr>10, 3, 0, 1</vt:lpwstr>
  </property>
</Properties>
</file>