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전문인력 평가 기준 및 평가표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NanumGothic" w:cs="NanumGothic" w:eastAsia="NanumGothic" w:hAnsi="NanumGothic"/>
          <w:sz w:val="20"/>
          <w:szCs w:val="20"/>
        </w:rPr>
        <w:t xml:space="preserve">평가기준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양호: 법령에 따른 업무수행으로 수립된 안전보건목표를 달성하고 재해예방에 기여함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보통: 법령에 따른 업무를 적정하게 수행함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미흡: 법령에 따른 업무를 일부 수행하지 않음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* 평가 주기: 반기 1회 이상 평가</w:t>
      </w:r>
    </w:p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7"/>
        <w:gridCol w:w="1247"/>
        <w:gridCol w:w="3061"/>
        <w:gridCol w:w="907"/>
        <w:gridCol w:w="907"/>
        <w:gridCol w:w="907"/>
      </w:tblGrid>
      <w:tr>
        <w:trPr>
          <w:tblHeader/>
          <w:trHeight w:val="453" w:hRule="atLeast"/>
        </w:trPr>
        <w:tc>
          <w:tcPr>
            <w:tcW w:type="dxa" w:w="26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124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30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담당업무</w:t>
            </w:r>
          </w:p>
        </w:tc>
        <w:tc>
          <w:tcPr>
            <w:tcW w:type="dxa" w:w="2721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평가</w:t>
            </w:r>
          </w:p>
        </w:tc>
      </w:tr>
      <w:tr>
        <w:trPr>
          <w:tblHeader/>
          <w:trHeight w:val="45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미흡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보통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양호</w:t>
            </w:r>
          </w:p>
        </w:tc>
      </w:tr>
      <w:tr>
        <w:trPr>
          <w:trHeight w:val="68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NanumGothic" w:cs="NanumGothic" w:eastAsia="NanumGothic" w:hAnsi="NanumGothic"/>
          <w:sz w:val="20"/>
          <w:szCs w:val="20"/>
        </w:rPr>
        <w:t xml:space="preserve">【직책별 직무 참조】 (산업안전보건법)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안전보건관리책임자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1. 사업장의 산재예방계획 수립에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2. 안전보건관리규정(산안법 제25조, 제26조)의 작성 및 변경에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3. 근로자에 대한 안전보건교육(산안법 제29조)에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4. 작업환경의 점검 및 개선에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5. 근로자의 건강진단 등 건강관리에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6. 산업재해의 원인 조사 및 재발 방지대책 수립에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7. 산업재해에 관한 통계의 기록 및 유지관리에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8. 안전장치 및 보호구 구입 시 적격품 여부 확인에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9. 위험성평가의 실시에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10. 안전보건규칙에서 정하는 근로자의 위험 또는 건강장해의 방지에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관리감독자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1. 사업장 내 관리감독자가 지휘·감독하는 작업과 관련된 기계·기구 또는 설비의 안전·보건 점검 및 이상 유무의 확인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2. 관리감독자에게 소속된 근로자의 작업복·보호구 및 방호장치의 점검과 그 착용·사용에 관한 교육·지도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3. 해당 작업에서 발생한 산업재해에 관한 보고 및 이에 대한 응급조치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4. 해당 작업의 작업장 정리·정돈 및 통로 확보에 대한 확인·감독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5. 안전관리자, 보건관리자, 안전보건관리담당자, 산업보건의의 지도·조언에 대한 협조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6. 위험성평가를 위한 유해·위험요인의 파악 및 개선조치 시행에 참여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안전보건총괄책임자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1. 위험성평가의 실시에 관한 사항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2. 산업재해가 발생할 급박한 위험이 있는 경우 및 중대재해 발생 시 작업의 중지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3. 도급 시 산업재해 예방조치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4. 산업안전보건관리비의 관계수급인 간의 사용에 관한 협의·조정 및 그 집행의 감독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5. 안전인증대상기계 등과 자율안전확인대상기계 등의 사용 여부 확인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전문인력 평가 기준 및 평가표</dc:title>
  <dc:creator>TAI</dc:creator>
  <dc:description>산업안전보건 실무서식</dc:description>
  <cp:lastModifiedBy>TAI Document Pipeline v1</cp:lastModifiedBy>
  <cp:revision>1</cp:revision>
  <dcterms:created xsi:type="dcterms:W3CDTF">2026-10-09T18:39:58.515Z</dcterms:created>
  <dcterms:modified xsi:type="dcterms:W3CDTF">2026-10-09T18:39:58.516Z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