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7399" w14:textId="77777777" w:rsidR="00DA4480" w:rsidRPr="00DA4480" w:rsidRDefault="00DA4480" w:rsidP="00DA44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Phase 1 — Cyber Warfare Foundation</w:t>
      </w:r>
    </w:p>
    <w:p w14:paraId="6E84794A" w14:textId="77777777" w:rsidR="00DA4480" w:rsidRPr="00DA4480" w:rsidRDefault="00DA4480" w:rsidP="00DA44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Defence-Grade, Zero Trust-First, Mission-Oriented Curriculum</w:t>
      </w:r>
    </w:p>
    <w:p w14:paraId="6B2DFB60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Duration: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8 Weeks per Certificate (Two Parallel/Sequential Certificates)</w:t>
      </w:r>
    </w:p>
    <w:p w14:paraId="5E117681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Time Commitment: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10 Hours per Week</w:t>
      </w:r>
    </w:p>
    <w:p w14:paraId="5EFC0A9A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Delivery Approach: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Mission-Oriented Learning with Lab-Driven Validation</w:t>
      </w:r>
    </w:p>
    <w:p w14:paraId="062FAAB0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Target Audience: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Defence cyber operators, tri-services signals/IT cadre, CERT personnel, critical infrastructure defenders, and aspiring SOC/Blue Team specialists.</w:t>
      </w:r>
    </w:p>
    <w:p w14:paraId="6DB3D543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Classification of Material: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UNCLASSIFIED — publicly teachable, framework-aligned.</w:t>
      </w:r>
    </w:p>
    <w:p w14:paraId="27095571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Frameworks &amp; Standards Referenced: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NIST SP 800-207, NIST CSF 2.0, NIST SP 800-61 Rev. 2, NIST SP 800-53 Rev. 5, NIST SP 800-137, NIST SP 800-94, NIST SP 800-92, NIST SP 800-160 Vol. 2, NIST SP 800-150, MITRE ATT&amp;CK v14+, MITRE D3FEND, MITRE ENGAGE, CIS Controls v8.1, SANS Incident Handler's Handbook, DoD Zero Trust Reference Architecture v2.0 (2022, public edition), CISA Zero Trust Maturity Model v2.0 (2023).</w:t>
      </w:r>
    </w:p>
    <w:p w14:paraId="4320BDE4" w14:textId="77777777" w:rsidR="00DA4480" w:rsidRPr="00DA4480" w:rsidRDefault="00DA4480" w:rsidP="00DA44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PROGRAM DESIGN PRINCIPLES</w:t>
      </w:r>
    </w:p>
    <w:p w14:paraId="5A21B575" w14:textId="77777777" w:rsidR="00DA4480" w:rsidRPr="00DA4480" w:rsidRDefault="00DA4480" w:rsidP="00DA44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Zero Trust First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— every module assumes "never trust, always verify" across identity, device, network, workload, and data.</w:t>
      </w:r>
    </w:p>
    <w:p w14:paraId="5A3B3D57" w14:textId="77777777" w:rsidR="00DA4480" w:rsidRPr="00DA4480" w:rsidRDefault="00DA4480" w:rsidP="00DA44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Mission Survivability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— curriculum prioritises operational continuity of command, control, communication, computing, intelligence, surveillance, and reconnaissance (C4ISR) assets.</w:t>
      </w:r>
    </w:p>
    <w:p w14:paraId="2DAD2BC4" w14:textId="77777777" w:rsidR="00DA4480" w:rsidRPr="00DA4480" w:rsidRDefault="00DA4480" w:rsidP="00DA44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Threat-Informed Defence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— detection and response engineered against adversary TTPs mapped to MITRE ATT&amp;CK (Enterprise, Mobile, ICS).</w:t>
      </w:r>
    </w:p>
    <w:p w14:paraId="6774CD07" w14:textId="77777777" w:rsidR="00DA4480" w:rsidRPr="00DA4480" w:rsidRDefault="00DA4480" w:rsidP="00DA44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Standards-Based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— no blog-level content; all references anchor to NIST, MITRE, CIS, SANS, ISO/IEC, or peer-reviewed published books (2020–2025).</w:t>
      </w:r>
    </w:p>
    <w:p w14:paraId="06EA62AF" w14:textId="77777777" w:rsidR="00DA4480" w:rsidRPr="00DA4480" w:rsidRDefault="00DA4480" w:rsidP="00DA44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Defence Context, Industry Tooling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— case studies revolve around tactical networks, strategic enclaves, and critical infrastructure while labs use widely available, legal, open-source or community editions (Linux, Wazuh, Suricata, Zeek, Velociraptor, TheHive, MISP, Elastic, Sigma, Atomic Red Team).</w:t>
      </w:r>
    </w:p>
    <w:p w14:paraId="36CB29DA" w14:textId="77777777" w:rsidR="00DA4480" w:rsidRPr="00DA4480" w:rsidRDefault="00DA4480" w:rsidP="00DA44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CERTIFICATE 1</w:t>
      </w:r>
    </w:p>
    <w:p w14:paraId="2B115BBA" w14:textId="77777777" w:rsidR="00DA4480" w:rsidRPr="00DA4480" w:rsidRDefault="00DA4480" w:rsidP="00DA44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Zero Trust Architecture &amp; Implementation</w:t>
      </w:r>
    </w:p>
    <w:p w14:paraId="53F8A5A4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Certificate Objective:</w:t>
      </w:r>
    </w:p>
    <w:p w14:paraId="04F771D4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Produce operators who can architect, deploy, and operate a Zero Trust Architecture (ZTA) across tactical, enterprise, and critical-infrastructure networks in accordance with NIST SP 800-207 and the DoD Zero Trust Reference Architecture v2.0 (public edition).</w:t>
      </w:r>
    </w:p>
    <w:p w14:paraId="23D67F0D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lastRenderedPageBreak/>
        <w:t>Exit Competencies (Operational):</w:t>
      </w:r>
    </w:p>
    <w:p w14:paraId="76D4CF90" w14:textId="77777777" w:rsidR="00DA4480" w:rsidRPr="00DA4480" w:rsidRDefault="00DA4480" w:rsidP="00DA44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Translate mission requirements into ZTA policies (PDP/PEP).</w:t>
      </w:r>
    </w:p>
    <w:p w14:paraId="5D2BD034" w14:textId="77777777" w:rsidR="00DA4480" w:rsidRPr="00DA4480" w:rsidRDefault="00DA4480" w:rsidP="00DA44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Design identity-centric, micro-segmented network enclaves.</w:t>
      </w:r>
    </w:p>
    <w:p w14:paraId="74DF55B2" w14:textId="77777777" w:rsidR="00DA4480" w:rsidRPr="00DA4480" w:rsidRDefault="00DA4480" w:rsidP="00DA44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Enforce device trust, data-centric protection, and continuous diagnostics.</w:t>
      </w:r>
    </w:p>
    <w:p w14:paraId="36E782B4" w14:textId="77777777" w:rsidR="00DA4480" w:rsidRPr="00DA4480" w:rsidRDefault="00DA4480" w:rsidP="00DA44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Evaluate ZTA maturity using CISA ZTMM v2.0.</w:t>
      </w:r>
    </w:p>
    <w:p w14:paraId="6A8E0296" w14:textId="77777777" w:rsidR="00DA4480" w:rsidRPr="00DA4480" w:rsidRDefault="00DA4480" w:rsidP="00DA44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Operate Zero Trust telemetry pipelines integrated with the SOC.</w:t>
      </w:r>
    </w:p>
    <w:p w14:paraId="24EF990B" w14:textId="77777777" w:rsidR="00DA4480" w:rsidRPr="00DA4480" w:rsidRDefault="00DA4480" w:rsidP="00DA44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CERTIFICATE 2</w:t>
      </w:r>
    </w:p>
    <w:p w14:paraId="16CF13A4" w14:textId="77777777" w:rsidR="00DA4480" w:rsidRPr="00DA4480" w:rsidRDefault="00DA4480" w:rsidP="00DA44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Cyber Threat Intelligence &amp; Incident Response</w:t>
      </w:r>
    </w:p>
    <w:p w14:paraId="2131297C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Certificate Objective:</w:t>
      </w:r>
    </w:p>
    <w:p w14:paraId="761148A5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Train operators to ingest, analyse, and act on threat intelligence, and to lead incident response aligned with NIST SP 800-61 Rev. 2, using MITRE ATT&amp;CK as the common adversary lexicon.</w:t>
      </w:r>
    </w:p>
    <w:p w14:paraId="101CD08A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Exit Competencies (Operational):</w:t>
      </w:r>
    </w:p>
    <w:p w14:paraId="3C78F581" w14:textId="77777777" w:rsidR="00DA4480" w:rsidRPr="00DA4480" w:rsidRDefault="00DA4480" w:rsidP="00DA44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Run the full Intelligence Cycle against defence-relevant threats.</w:t>
      </w:r>
    </w:p>
    <w:p w14:paraId="076F389F" w14:textId="77777777" w:rsidR="00DA4480" w:rsidRPr="00DA4480" w:rsidRDefault="00DA4480" w:rsidP="00DA44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Build ATT&amp;CK-based detections and threat-hunting hypotheses.</w:t>
      </w:r>
    </w:p>
    <w:p w14:paraId="50DBEEAC" w14:textId="77777777" w:rsidR="00DA4480" w:rsidRPr="00DA4480" w:rsidRDefault="00DA4480" w:rsidP="00DA44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Execute the four-phase incident response lifecycle.</w:t>
      </w:r>
    </w:p>
    <w:p w14:paraId="20601E31" w14:textId="77777777" w:rsidR="00DA4480" w:rsidRPr="00DA4480" w:rsidRDefault="00DA4480" w:rsidP="00DA44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Perform initial digital forensics triage.</w:t>
      </w:r>
    </w:p>
    <w:p w14:paraId="2273123F" w14:textId="77777777" w:rsidR="00DA4480" w:rsidRPr="00DA4480" w:rsidRDefault="00DA4480" w:rsidP="00DA44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Run SOC operations with SIEM/SOAR integration.</w:t>
      </w:r>
    </w:p>
    <w:p w14:paraId="34440E4D" w14:textId="63A3CEC6" w:rsidR="00DA4480" w:rsidRPr="00DA4480" w:rsidRDefault="00DA4480" w:rsidP="00DA44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br/>
      </w:r>
      <w:r w:rsidRPr="00DA448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GB" w:bidi="hi-IN"/>
          <w14:ligatures w14:val="none"/>
        </w:rPr>
        <w:t>Phase 2 — Space &amp; AI Warfare Systems</w:t>
      </w:r>
    </w:p>
    <w:p w14:paraId="31E56848" w14:textId="77777777" w:rsidR="00DA4480" w:rsidRPr="00DA4480" w:rsidRDefault="00DA4480" w:rsidP="00DA4480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Weeks 9–16 | 10 Hours per Week | Mission-Oriented Learning</w:t>
      </w:r>
    </w:p>
    <w:p w14:paraId="48DE507F" w14:textId="77777777" w:rsidR="00DA4480" w:rsidRPr="00DA4480" w:rsidRDefault="005545F6" w:rsidP="00DA448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5545F6">
        <w:rPr>
          <w:noProof/>
          <w:lang w:eastAsia="en-GB" w:bidi="hi-IN"/>
        </w:rPr>
        <w:pict w14:anchorId="0A2A376B">
          <v:rect id="_x0000_i1027" alt="" style="width:415.2pt;height:.05pt;mso-width-percent:0;mso-height-percent:0;mso-width-percent:0;mso-height-percent:0" o:hrpct="920" o:hralign="center" o:hrstd="t" o:hr="t" fillcolor="#a0a0a0" stroked="f"/>
        </w:pict>
      </w:r>
    </w:p>
    <w:p w14:paraId="13C2F6C6" w14:textId="77777777" w:rsidR="00DA4480" w:rsidRPr="00DA4480" w:rsidRDefault="00DA4480" w:rsidP="00DA4480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Programme Command Brief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044"/>
      </w:tblGrid>
      <w:tr w:rsidR="00DA4480" w:rsidRPr="00DA4480" w14:paraId="02295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1CD37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AA952A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Specification</w:t>
            </w:r>
          </w:p>
        </w:tc>
      </w:tr>
      <w:tr w:rsidR="00DA4480" w:rsidRPr="00DA4480" w14:paraId="3289E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496B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Programme</w:t>
            </w:r>
          </w:p>
        </w:tc>
        <w:tc>
          <w:tcPr>
            <w:tcW w:w="0" w:type="auto"/>
            <w:vAlign w:val="center"/>
            <w:hideMark/>
          </w:tcPr>
          <w:p w14:paraId="5E064B77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DefSpace Cyber &amp; Strategic Warfare Program</w:t>
            </w:r>
          </w:p>
        </w:tc>
      </w:tr>
      <w:tr w:rsidR="00DA4480" w:rsidRPr="00DA4480" w14:paraId="0DCE3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B248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C7F618E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Phase 2 — Space &amp; AI Warfare Systems</w:t>
            </w:r>
          </w:p>
        </w:tc>
      </w:tr>
      <w:tr w:rsidR="00DA4480" w:rsidRPr="00DA4480" w14:paraId="76002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028D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393BE81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8 Weeks (Weeks 9–16)</w:t>
            </w:r>
          </w:p>
        </w:tc>
      </w:tr>
      <w:tr w:rsidR="00DA4480" w:rsidRPr="00DA4480" w14:paraId="06F17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A4A8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0943BE8A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10 hours per week (80 hours total)</w:t>
            </w:r>
          </w:p>
        </w:tc>
      </w:tr>
      <w:tr w:rsidR="00DA4480" w:rsidRPr="00DA4480" w14:paraId="6D923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8CC9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Pedagogy</w:t>
            </w:r>
          </w:p>
        </w:tc>
        <w:tc>
          <w:tcPr>
            <w:tcW w:w="0" w:type="auto"/>
            <w:vAlign w:val="center"/>
            <w:hideMark/>
          </w:tcPr>
          <w:p w14:paraId="7F76045C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Mission-Oriented Learning (MOL) with lab simulations and scenario exercises</w:t>
            </w:r>
          </w:p>
        </w:tc>
      </w:tr>
      <w:tr w:rsidR="00DA4480" w:rsidRPr="00DA4480" w14:paraId="1D96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383D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C622E4A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Unclassified — Open-Source / Publicly Available Knowledge Only</w:t>
            </w:r>
          </w:p>
        </w:tc>
      </w:tr>
      <w:tr w:rsidR="00DA4480" w:rsidRPr="00DA4480" w14:paraId="0438A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D8D3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lastRenderedPageBreak/>
              <w:t>Standards Base</w:t>
            </w:r>
          </w:p>
        </w:tc>
        <w:tc>
          <w:tcPr>
            <w:tcW w:w="0" w:type="auto"/>
            <w:vAlign w:val="center"/>
            <w:hideMark/>
          </w:tcPr>
          <w:p w14:paraId="654ADE22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NASA SE Handbook, ESA, ISRO, CCSDS, NIST SP 800-series, MITRE ATT&amp;CK / SPARTA</w:t>
            </w:r>
          </w:p>
        </w:tc>
      </w:tr>
      <w:tr w:rsidR="00DA4480" w:rsidRPr="00DA4480" w14:paraId="40173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0E98" w14:textId="77777777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 w:bidi="hi-IN"/>
                <w14:ligatures w14:val="none"/>
              </w:rPr>
              <w:t>Doctrinal Alignment</w:t>
            </w:r>
          </w:p>
        </w:tc>
        <w:tc>
          <w:tcPr>
            <w:tcW w:w="0" w:type="auto"/>
            <w:vAlign w:val="center"/>
            <w:hideMark/>
          </w:tcPr>
          <w:p w14:paraId="54579C62" w14:textId="0760C95A" w:rsidR="00DA4480" w:rsidRPr="00DA4480" w:rsidRDefault="00DA4480" w:rsidP="00DA4480">
            <w:pP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</w:pPr>
            <w:r w:rsidRPr="00DA4480"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Indian Defence Space Doctrine (public), Joint Doctrine for Spac</w:t>
            </w:r>
            <w:r>
              <w:rPr>
                <w:rFonts w:ascii="Times New Roman" w:eastAsia="Times New Roman" w:hAnsi="Times New Roman" w:cs="Times New Roman"/>
                <w:kern w:val="0"/>
                <w:lang w:eastAsia="en-GB" w:bidi="hi-IN"/>
                <w14:ligatures w14:val="none"/>
              </w:rPr>
              <w:t>e</w:t>
            </w:r>
          </w:p>
        </w:tc>
      </w:tr>
    </w:tbl>
    <w:p w14:paraId="3270BCDA" w14:textId="77777777" w:rsidR="00DA4480" w:rsidRPr="00DA4480" w:rsidRDefault="00DA4480" w:rsidP="00DA44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>
        <w:br/>
      </w:r>
      <w:r>
        <w:br/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pace-cyber attacks and AI-enabled ISR.</w:t>
      </w:r>
    </w:p>
    <w:p w14:paraId="2A09CCD7" w14:textId="77777777" w:rsidR="00DA4480" w:rsidRPr="00DA4480" w:rsidRDefault="005545F6" w:rsidP="00DA4480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5545F6">
        <w:rPr>
          <w:rFonts w:ascii="Times New Roman" w:eastAsia="Times New Roman" w:hAnsi="Times New Roman" w:cs="Times New Roman"/>
          <w:noProof/>
          <w:kern w:val="0"/>
          <w:lang w:eastAsia="en-GB" w:bidi="hi-IN"/>
        </w:rPr>
        <w:pict w14:anchorId="5056379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5041F2F" w14:textId="1F8D235B" w:rsidR="00DA4480" w:rsidRPr="00DA4480" w:rsidRDefault="00DA4480" w:rsidP="00DA44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CERTIFICATE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1</w:t>
      </w:r>
    </w:p>
    <w:p w14:paraId="1A2D2811" w14:textId="77777777" w:rsidR="00DA4480" w:rsidRPr="00DA4480" w:rsidRDefault="00DA4480" w:rsidP="00DA44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Secure Satellite Communication &amp; Space Cyber Defence</w:t>
      </w:r>
    </w:p>
    <w:p w14:paraId="5166CD6C" w14:textId="77777777" w:rsidR="00DA4480" w:rsidRPr="00DA4480" w:rsidRDefault="00DA4480" w:rsidP="00DA44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Weeks 9–12 | 40 Hours</w:t>
      </w:r>
    </w:p>
    <w:p w14:paraId="6FE37961" w14:textId="77777777" w:rsidR="00DA4480" w:rsidRPr="00DA4480" w:rsidRDefault="00DA4480" w:rsidP="00DA44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C1 Objectives</w:t>
      </w:r>
    </w:p>
    <w:p w14:paraId="04B47394" w14:textId="77777777" w:rsidR="00DA4480" w:rsidRPr="00DA4480" w:rsidRDefault="00DA4480" w:rsidP="00DA44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Master satellite regime fundamentals (LEO/MEO/GEO) and orbital mechanics sufficient for mission planning.</w:t>
      </w:r>
    </w:p>
    <w:p w14:paraId="19C2B97A" w14:textId="77777777" w:rsidR="00DA4480" w:rsidRPr="00DA4480" w:rsidRDefault="00DA4480" w:rsidP="00DA44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Engineer link budgets and apply modulation/coding schemes across defence communication links.</w:t>
      </w:r>
    </w:p>
    <w:p w14:paraId="5E524673" w14:textId="77777777" w:rsidR="00DA4480" w:rsidRPr="00DA4480" w:rsidRDefault="00DA4480" w:rsidP="00DA44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Identify and counter jamming, spoofing, meaconing, and cyber intrusion vectors.</w:t>
      </w:r>
    </w:p>
    <w:p w14:paraId="15658E69" w14:textId="77777777" w:rsidR="00DA4480" w:rsidRPr="00DA4480" w:rsidRDefault="00DA4480" w:rsidP="00DA44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Apply MITRE ATT&amp;CK / SPARTA space-cyber taxonomies to threat modelling.</w:t>
      </w:r>
    </w:p>
    <w:p w14:paraId="74150372" w14:textId="77777777" w:rsidR="00DA4480" w:rsidRPr="00DA4480" w:rsidRDefault="00DA4480" w:rsidP="00DA44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Design Zero Trust and resilienc</w:t>
      </w:r>
    </w:p>
    <w:p w14:paraId="4A288B21" w14:textId="77777777" w:rsidR="00DA4480" w:rsidRPr="00DA4480" w:rsidRDefault="00DA4480" w:rsidP="00DA44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i/>
          <w:iCs/>
          <w:kern w:val="0"/>
          <w:lang w:eastAsia="en-GB" w:bidi="hi-IN"/>
          <w14:ligatures w14:val="none"/>
        </w:rPr>
        <w:t>al Counterspace Capabilities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(annual).</w:t>
      </w:r>
    </w:p>
    <w:p w14:paraId="106E608F" w14:textId="77777777" w:rsidR="00DA4480" w:rsidRPr="00DA4480" w:rsidRDefault="005545F6" w:rsidP="00DA4480">
      <w:pPr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5545F6">
        <w:rPr>
          <w:rFonts w:ascii="Times New Roman" w:eastAsia="Times New Roman" w:hAnsi="Times New Roman" w:cs="Times New Roman"/>
          <w:noProof/>
          <w:kern w:val="0"/>
          <w:lang w:eastAsia="en-GB" w:bidi="hi-IN"/>
        </w:rPr>
        <w:pict w14:anchorId="2AA288B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57B132E" w14:textId="09F7AA66" w:rsidR="00DA4480" w:rsidRPr="00DA4480" w:rsidRDefault="00DA4480" w:rsidP="00DA44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 xml:space="preserve">CERTIFICATE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2</w:t>
      </w:r>
    </w:p>
    <w:p w14:paraId="0D9BC59F" w14:textId="77777777" w:rsidR="00DA4480" w:rsidRPr="00DA4480" w:rsidRDefault="00DA4480" w:rsidP="00DA448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hi-IN"/>
          <w14:ligatures w14:val="none"/>
        </w:rPr>
        <w:t>AI &amp; Machine Learning for Space Intelligence</w:t>
      </w:r>
    </w:p>
    <w:p w14:paraId="2BF92C9F" w14:textId="77777777" w:rsidR="00DA4480" w:rsidRPr="00DA4480" w:rsidRDefault="00DA4480" w:rsidP="00DA44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Weeks 13–16 | 40 Hours</w:t>
      </w:r>
    </w:p>
    <w:p w14:paraId="11318AA9" w14:textId="77777777" w:rsidR="00DA4480" w:rsidRPr="00DA4480" w:rsidRDefault="00DA4480" w:rsidP="00DA44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hi-IN"/>
          <w14:ligatures w14:val="none"/>
        </w:rPr>
        <w:t>C2 Objectives</w:t>
      </w:r>
    </w:p>
    <w:p w14:paraId="34A12008" w14:textId="77777777" w:rsidR="00DA4480" w:rsidRPr="00DA4480" w:rsidRDefault="00DA4480" w:rsidP="00DA44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lastRenderedPageBreak/>
        <w:t>Apply AI/ML rigorously to SIGINT, IMINT, and MASINT problem sets.</w:t>
      </w:r>
    </w:p>
    <w:p w14:paraId="245693F2" w14:textId="77777777" w:rsidR="00DA4480" w:rsidRPr="00DA4480" w:rsidRDefault="00DA4480" w:rsidP="00DA44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Build image intelligence pipelines over EO, multispectral, and SAR imagery.</w:t>
      </w:r>
    </w:p>
    <w:p w14:paraId="287677DE" w14:textId="77777777" w:rsidR="00DA4480" w:rsidRPr="00DA4480" w:rsidRDefault="00DA4480" w:rsidP="00DA44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Design anomaly-detection systems for satellite telemetry and communications patterns.</w:t>
      </w:r>
    </w:p>
    <w:p w14:paraId="63E14807" w14:textId="77777777" w:rsidR="00DA4480" w:rsidRPr="00DA4480" w:rsidRDefault="00DA4480" w:rsidP="00DA44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Fuse multi-INT streams into ISR decision-support pipelines.</w:t>
      </w:r>
    </w:p>
    <w:p w14:paraId="54952037" w14:textId="77777777" w:rsidR="00DA4480" w:rsidRPr="00DA4480" w:rsidRDefault="00DA4480" w:rsidP="00DA44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>Evaluate adversarial ML risk</w:t>
      </w:r>
    </w:p>
    <w:p w14:paraId="21A3A6BE" w14:textId="77777777" w:rsidR="00DA4480" w:rsidRDefault="00DA4480" w:rsidP="00DA4480">
      <w:pPr>
        <w:pStyle w:val="Heading3"/>
      </w:pPr>
      <w:r>
        <w:br/>
      </w:r>
      <w:r w:rsidRPr="00DA4480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GB" w:bidi="hi-IN"/>
          <w14:ligatures w14:val="none"/>
        </w:rPr>
        <w:t>Phase 3 — National Infrastructure Defence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GB" w:bidi="hi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GB" w:bidi="hi-IN"/>
          <w14:ligatures w14:val="none"/>
        </w:rPr>
        <w:br/>
      </w:r>
      <w:r>
        <w:t>Strategic Objective</w:t>
      </w:r>
    </w:p>
    <w:p w14:paraId="1E408358" w14:textId="77777777" w:rsidR="00DA4480" w:rsidRDefault="00DA4480" w:rsidP="00DA4480">
      <w:pPr>
        <w:pStyle w:val="NormalWeb"/>
      </w:pPr>
      <w:r>
        <w:t xml:space="preserve">Build a cadre of operators capable of </w:t>
      </w:r>
      <w:r>
        <w:rPr>
          <w:rStyle w:val="Strong"/>
        </w:rPr>
        <w:t>protecting, defending, and restoring nation-scale critical infrastructure</w:t>
      </w:r>
      <w:r>
        <w:t xml:space="preserve"> — with specific emphasis on power grids, telecom backbones, defence communication systems, and Industrial Control Systems (ICS/SCADA). The program develops capability across three mission pillars: </w:t>
      </w:r>
      <w:r>
        <w:rPr>
          <w:rStyle w:val="Strong"/>
        </w:rPr>
        <w:t>Resilience, Threat Detection, and Continuity of Operations.</w:t>
      </w:r>
    </w:p>
    <w:p w14:paraId="256E1277" w14:textId="2BFB82EA" w:rsidR="00DA4480" w:rsidRPr="00DA4480" w:rsidRDefault="00DA4480" w:rsidP="00DA448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GB" w:bidi="hi-IN"/>
          <w14:ligatures w14:val="none"/>
        </w:rPr>
      </w:pPr>
    </w:p>
    <w:p w14:paraId="0AC721C5" w14:textId="77777777" w:rsidR="00DA4480" w:rsidRPr="00DA4480" w:rsidRDefault="00DA4480" w:rsidP="00DA44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Certificate in Critical Infrastructure Security (CIP/CNI)</w:t>
      </w:r>
    </w:p>
    <w:p w14:paraId="1467416F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Duration: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Weeks 17–20 (4 Weeks) | </w:t>
      </w: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Time Commitment: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10 Hours per Week | </w:t>
      </w: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Total Instructional Hours: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40</w:t>
      </w:r>
    </w:p>
    <w:p w14:paraId="58460202" w14:textId="77777777" w:rsidR="00DA4480" w:rsidRPr="00DA4480" w:rsidRDefault="00DA4480" w:rsidP="00DA44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</w:pP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Classification: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Unclassified | </w:t>
      </w: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Tier: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Defence-Grade | </w:t>
      </w:r>
      <w:r w:rsidRPr="00DA4480">
        <w:rPr>
          <w:rFonts w:ascii="Times New Roman" w:eastAsia="Times New Roman" w:hAnsi="Times New Roman" w:cs="Times New Roman"/>
          <w:b/>
          <w:bCs/>
          <w:kern w:val="0"/>
          <w:lang w:eastAsia="en-GB" w:bidi="hi-IN"/>
          <w14:ligatures w14:val="none"/>
        </w:rPr>
        <w:t>Approach:</w:t>
      </w:r>
      <w:r w:rsidRPr="00DA4480">
        <w:rPr>
          <w:rFonts w:ascii="Times New Roman" w:eastAsia="Times New Roman" w:hAnsi="Times New Roman" w:cs="Times New Roman"/>
          <w:kern w:val="0"/>
          <w:lang w:eastAsia="en-GB" w:bidi="hi-IN"/>
          <w14:ligatures w14:val="none"/>
        </w:rPr>
        <w:t xml:space="preserve"> Mission-Oriented Learning</w:t>
      </w:r>
    </w:p>
    <w:p w14:paraId="3BCC0BC8" w14:textId="3970EC3C" w:rsidR="00DA4480" w:rsidRDefault="00DA4480" w:rsidP="00DA4480">
      <w:pPr>
        <w:pStyle w:val="Heading2"/>
      </w:pPr>
      <w:r>
        <w:br/>
      </w:r>
      <w:r>
        <w:t>Phase 4 — Capstone Mission Simulation</w:t>
      </w:r>
    </w:p>
    <w:p w14:paraId="1DECC5E2" w14:textId="77777777" w:rsidR="00DA4480" w:rsidRDefault="00DA4480" w:rsidP="00DA4480">
      <w:pPr>
        <w:pStyle w:val="Heading3"/>
      </w:pPr>
      <w:r>
        <w:t>Multi-Domain Defence Operations Exercise</w:t>
      </w:r>
    </w:p>
    <w:p w14:paraId="1F703ADB" w14:textId="77777777" w:rsidR="00DA4480" w:rsidRDefault="00DA4480" w:rsidP="00DA4480">
      <w:pPr>
        <w:pStyle w:val="NormalWeb"/>
      </w:pPr>
      <w:r>
        <w:rPr>
          <w:rStyle w:val="Strong"/>
        </w:rPr>
        <w:t>Duration:</w:t>
      </w:r>
      <w:r>
        <w:t xml:space="preserve"> Weeks 21–24 (4 Weeks) | </w:t>
      </w:r>
      <w:r>
        <w:rPr>
          <w:rStyle w:val="Strong"/>
        </w:rPr>
        <w:t>Time Commitment:</w:t>
      </w:r>
      <w:r>
        <w:t xml:space="preserve"> 10 Hours per Week | </w:t>
      </w:r>
      <w:r>
        <w:rPr>
          <w:rStyle w:val="Strong"/>
        </w:rPr>
        <w:t>Total Mission Hours:</w:t>
      </w:r>
      <w:r>
        <w:t xml:space="preserve"> 40</w:t>
      </w:r>
    </w:p>
    <w:p w14:paraId="5027E4B4" w14:textId="77777777" w:rsidR="00DA4480" w:rsidRDefault="00DA4480" w:rsidP="00DA4480">
      <w:pPr>
        <w:pStyle w:val="Heading3"/>
      </w:pPr>
      <w:r>
        <w:rPr>
          <w:rStyle w:val="Strong"/>
        </w:rPr>
        <w:t>Classification:</w:t>
      </w:r>
      <w:r>
        <w:t xml:space="preserve"> Unclassified — All content synthetic, ethical, and educational | </w:t>
      </w:r>
      <w:r>
        <w:rPr>
          <w:rStyle w:val="Strong"/>
        </w:rPr>
        <w:t>Tier:</w:t>
      </w:r>
      <w:r>
        <w:t xml:space="preserve"> Defence-Grade | </w:t>
      </w:r>
      <w:r>
        <w:rPr>
          <w:rStyle w:val="Strong"/>
        </w:rPr>
        <w:t>Approach:</w:t>
      </w:r>
      <w:r>
        <w:t xml:space="preserve"> Mission-Based, Scenario-Driven Execution</w:t>
      </w:r>
      <w:r>
        <w:br/>
      </w:r>
      <w:r>
        <w:br/>
      </w:r>
      <w:r>
        <w:t>Strategic Intent</w:t>
      </w:r>
    </w:p>
    <w:p w14:paraId="257DAB5A" w14:textId="77777777" w:rsidR="00DA4480" w:rsidRDefault="00DA4480" w:rsidP="00DA4480">
      <w:pPr>
        <w:pStyle w:val="NormalWeb"/>
      </w:pPr>
      <w:r>
        <w:t xml:space="preserve">Phase 4 is the operational proving ground of the DefSpace Cyber &amp; Strategic Warfare Program. It transforms learners into </w:t>
      </w:r>
      <w:r>
        <w:rPr>
          <w:rStyle w:val="Strong"/>
        </w:rPr>
        <w:t>operational defence professionals</w:t>
      </w:r>
      <w:r>
        <w:t xml:space="preserve"> by placing them inside four sequenced, escalating, multi-domain warfare scenarios. Participants do not study — they </w:t>
      </w:r>
      <w:r>
        <w:rPr>
          <w:rStyle w:val="Strong"/>
        </w:rPr>
        <w:t>operate</w:t>
      </w:r>
      <w:r>
        <w:t>. Each week ends with an executed mission, an after-action review, and a measured readiness rating.</w:t>
      </w:r>
    </w:p>
    <w:p w14:paraId="61236CFE" w14:textId="77777777" w:rsidR="00DA4480" w:rsidRDefault="00DA4480" w:rsidP="00DA4480">
      <w:pPr>
        <w:pStyle w:val="Heading3"/>
      </w:pPr>
      <w:r>
        <w:lastRenderedPageBreak/>
        <w:t>1.2 End-State Criterion</w:t>
      </w:r>
    </w:p>
    <w:p w14:paraId="27192930" w14:textId="77777777" w:rsidR="00DA4480" w:rsidRDefault="00DA4480" w:rsidP="00DA4480">
      <w:pPr>
        <w:pStyle w:val="NormalWeb"/>
      </w:pPr>
      <w:r>
        <w:t xml:space="preserve">&gt; </w:t>
      </w:r>
      <w:r>
        <w:rPr>
          <w:rStyle w:val="Emphasis"/>
        </w:rPr>
        <w:t>"Participants operate like defence professionals, not just learners."</w:t>
      </w:r>
    </w:p>
    <w:p w14:paraId="0B4DD2E8" w14:textId="77777777" w:rsidR="00DA4480" w:rsidRDefault="00DA4480" w:rsidP="00DA4480">
      <w:pPr>
        <w:pStyle w:val="NormalWeb"/>
      </w:pPr>
      <w:r>
        <w:t>This is measured, not claimed. The evaluation system in §7 produces an auditable Defence Readiness Rating per trainee and per mission team.</w:t>
      </w:r>
    </w:p>
    <w:p w14:paraId="2F8EAF8A" w14:textId="43A0D829" w:rsidR="00DA4480" w:rsidRDefault="00DA4480" w:rsidP="00DA4480">
      <w:pPr>
        <w:pStyle w:val="NormalWeb"/>
      </w:pPr>
    </w:p>
    <w:p w14:paraId="3E85CD57" w14:textId="10C7F9E5" w:rsidR="005A07B1" w:rsidRPr="00DA4480" w:rsidRDefault="005A07B1" w:rsidP="00DA4480"/>
    <w:sectPr w:rsidR="005A07B1" w:rsidRPr="00DA4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2319" w14:textId="77777777" w:rsidR="005545F6" w:rsidRDefault="005545F6" w:rsidP="00DA4480">
      <w:r>
        <w:separator/>
      </w:r>
    </w:p>
  </w:endnote>
  <w:endnote w:type="continuationSeparator" w:id="0">
    <w:p w14:paraId="35B46C4B" w14:textId="77777777" w:rsidR="005545F6" w:rsidRDefault="005545F6" w:rsidP="00DA4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3BFA" w14:textId="77777777" w:rsidR="005545F6" w:rsidRDefault="005545F6" w:rsidP="00DA4480">
      <w:r>
        <w:separator/>
      </w:r>
    </w:p>
  </w:footnote>
  <w:footnote w:type="continuationSeparator" w:id="0">
    <w:p w14:paraId="3485B182" w14:textId="77777777" w:rsidR="005545F6" w:rsidRDefault="005545F6" w:rsidP="00DA4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83725"/>
    <w:multiLevelType w:val="multilevel"/>
    <w:tmpl w:val="7D96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E18CA"/>
    <w:multiLevelType w:val="multilevel"/>
    <w:tmpl w:val="889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9446B"/>
    <w:multiLevelType w:val="multilevel"/>
    <w:tmpl w:val="E7E6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B2F53"/>
    <w:multiLevelType w:val="multilevel"/>
    <w:tmpl w:val="7A1A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D36A0"/>
    <w:multiLevelType w:val="multilevel"/>
    <w:tmpl w:val="B9C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63358"/>
    <w:multiLevelType w:val="multilevel"/>
    <w:tmpl w:val="D54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31112"/>
    <w:multiLevelType w:val="multilevel"/>
    <w:tmpl w:val="35D0E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631437">
    <w:abstractNumId w:val="6"/>
  </w:num>
  <w:num w:numId="2" w16cid:durableId="545794911">
    <w:abstractNumId w:val="5"/>
  </w:num>
  <w:num w:numId="3" w16cid:durableId="1502308756">
    <w:abstractNumId w:val="4"/>
  </w:num>
  <w:num w:numId="4" w16cid:durableId="1334260983">
    <w:abstractNumId w:val="1"/>
  </w:num>
  <w:num w:numId="5" w16cid:durableId="842546593">
    <w:abstractNumId w:val="3"/>
  </w:num>
  <w:num w:numId="6" w16cid:durableId="1307123734">
    <w:abstractNumId w:val="2"/>
  </w:num>
  <w:num w:numId="7" w16cid:durableId="290288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80"/>
    <w:rsid w:val="00235AB9"/>
    <w:rsid w:val="004C78E1"/>
    <w:rsid w:val="005545F6"/>
    <w:rsid w:val="005A07B1"/>
    <w:rsid w:val="008B1385"/>
    <w:rsid w:val="009013D8"/>
    <w:rsid w:val="00DA4480"/>
    <w:rsid w:val="00F8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BBD0"/>
  <w15:chartTrackingRefBased/>
  <w15:docId w15:val="{553CB4EC-D5AB-2942-97F3-8C0EF64D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4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4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4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4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4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4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4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4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4480"/>
  </w:style>
  <w:style w:type="paragraph" w:styleId="Footer">
    <w:name w:val="footer"/>
    <w:basedOn w:val="Normal"/>
    <w:link w:val="FooterChar"/>
    <w:uiPriority w:val="99"/>
    <w:unhideWhenUsed/>
    <w:rsid w:val="00DA44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4480"/>
  </w:style>
  <w:style w:type="paragraph" w:styleId="NormalWeb">
    <w:name w:val="Normal (Web)"/>
    <w:basedOn w:val="Normal"/>
    <w:uiPriority w:val="99"/>
    <w:semiHidden/>
    <w:unhideWhenUsed/>
    <w:rsid w:val="00DA44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character" w:styleId="Strong">
    <w:name w:val="Strong"/>
    <w:basedOn w:val="DefaultParagraphFont"/>
    <w:uiPriority w:val="22"/>
    <w:qFormat/>
    <w:rsid w:val="00DA4480"/>
    <w:rPr>
      <w:b/>
      <w:bCs/>
    </w:rPr>
  </w:style>
  <w:style w:type="character" w:styleId="Emphasis">
    <w:name w:val="Emphasis"/>
    <w:basedOn w:val="DefaultParagraphFont"/>
    <w:uiPriority w:val="20"/>
    <w:qFormat/>
    <w:rsid w:val="00DA44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955</Words>
  <Characters>5418</Characters>
  <Application>Microsoft Office Word</Application>
  <DocSecurity>0</DocSecurity>
  <Lines>123</Lines>
  <Paragraphs>56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Ritesham Shastri</dc:creator>
  <cp:keywords/>
  <dc:description/>
  <cp:lastModifiedBy>Ritesham Shastri</cp:lastModifiedBy>
  <cp:revision>1</cp:revision>
  <dcterms:created xsi:type="dcterms:W3CDTF">2026-04-20T10:41:00Z</dcterms:created>
  <dcterms:modified xsi:type="dcterms:W3CDTF">2026-04-20T11:52:00Z</dcterms:modified>
</cp:coreProperties>
</file>