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0" w:line="264" w:lineRule="auto"/>
      </w:pPr>
      <w:r>
        <w:rPr>
          <w:rFonts w:ascii="Calibri" w:hAnsi="Calibri" w:eastAsia="Microsoft YaHei"/>
          <w:b/>
          <w:i w:val="0"/>
          <w:color w:val="5C6876"/>
          <w:sz w:val="22"/>
        </w:rPr>
        <w:t>产品介绍</w:t>
      </w:r>
    </w:p>
    <w:p>
      <w:pPr>
        <w:spacing w:before="0" w:after="80" w:line="240" w:lineRule="auto"/>
      </w:pPr>
      <w:r>
        <w:rPr>
          <w:rFonts w:ascii="Calibri" w:hAnsi="Calibri" w:eastAsia="Microsoft YaHei"/>
          <w:b/>
          <w:i w:val="0"/>
          <w:color w:val="0B2545"/>
          <w:sz w:val="56"/>
        </w:rPr>
        <w:t>NetNomos Forge</w:t>
      </w:r>
    </w:p>
    <w:p>
      <w:pPr>
        <w:spacing w:after="280" w:line="264" w:lineRule="auto"/>
      </w:pPr>
      <w:r>
        <w:rPr>
          <w:rFonts w:ascii="Calibri" w:hAnsi="Calibri" w:eastAsia="Microsoft YaHei"/>
          <w:b w:val="0"/>
          <w:i/>
          <w:color w:val="5C6876"/>
          <w:sz w:val="26"/>
        </w:rPr>
        <w:t>不改模型，只加规则：从规则自发现到受控生成的双轨合规工作台</w:t>
      </w:r>
    </w:p>
    <w:tbl>
      <w:tblGrid>
        <w:gridCol w:w="1800"/>
        <w:gridCol w:w="756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产品形态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面向规则发现、资料核查、受控生成和合规报告的演示工作台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核心技术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NetNomos 规则挖掘，LeJIT 约束生成，RAG 规则解释，A/B 双轨报告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当前阶段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W4 稳定 demo：网络流量与财务报表两个垂直场景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交付对象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产品演示、技术评审、方案汇报和后续工程接力</w:t>
            </w:r>
          </w:p>
        </w:tc>
      </w:tr>
    </w:tbl>
    <w:p>
      <w:pPr>
        <w:spacing w:after="80" w:line="264" w:lineRule="auto"/>
      </w:pPr>
    </w:p>
    <w:tbl>
      <w:tblGrid>
        <w:gridCol w:w="936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一句话定位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232D37"/>
                <w:sz w:val="21"/>
              </w:rPr>
              <w:t>NetNomos Forge 将模型生成置于显式规则控制层之下，让用户看到规则从数据中被发现、被解释、被复用核查，并最终约束报告输出。</w:t>
            </w:r>
          </w:p>
        </w:tc>
      </w:tr>
    </w:tbl>
    <w:p>
      <w:pPr>
        <w:spacing w:after="80" w:line="264" w:lineRule="auto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产品价值</w:t>
      </w:r>
    </w:p>
    <w:p>
      <w:pPr>
        <w:spacing w:line="264" w:lineRule="auto"/>
      </w:pPr>
      <w:r>
        <w:rPr>
          <w:rFonts w:ascii="Calibri" w:hAnsi="Calibri" w:eastAsia="Microsoft YaHei"/>
          <w:b w:val="0"/>
          <w:i w:val="0"/>
          <w:sz w:val="22"/>
        </w:rPr>
        <w:t>大模型可以生成流畅文本和结构化数据，但在财务、网络、安全、审计等场景中，流畅并不等于可信。NetNomos Forge 的产品假设是：模型外侧需要一层可审计的规则控制面，用显式规则约束关键数值、字段关系和业务逻辑。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2"/>
        </w:rPr>
        <w:t>对业务用户：可以上传资料、输入报告问题，并看到规则命中、修正依据和 A/B 输出差异。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2"/>
        </w:rPr>
        <w:t>对技术团队：可以把 NetNomos 学出的规则转成统一 RuleSet/RuleCard，再交给后续验证、投影和生成环节。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2"/>
        </w:rPr>
        <w:t>对评审方：可以区分哪些规则来自数据自发现，哪些来自人工领域规则，避免把规则来源混为一谈。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端到端工作流</w:t>
      </w:r>
    </w:p>
    <w:tbl>
      <w:tblGrid>
        <w:gridCol w:w="1500"/>
        <w:gridCol w:w="2200"/>
        <w:gridCol w:w="3200"/>
        <w:gridCol w:w="2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阶段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用户动作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系统处理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可见产物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资料接入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上传或确认训练/待核查资料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保存文件并登记 dataSourceId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文件名、dataSourceId、上传状态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规则学习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启动规则学习或加载规则库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NetNomos hitting-set/Z3 或 golden 规则加载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规则数量、规则来源、事件流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规则解释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查看规则卡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RAG 检索场景知识，可选 LLM 润色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中文规则卡、citation、巧合提示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资料核查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上传新资料并运行核查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RuleSet validate / Z3 check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违规清单、命中规则、期望值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双轨报告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输入报告问题并运行 A/B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A 轨裸模型；B 轨规则约束、投影和槽位回填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标红报告、合规报告、干预日志</w:t>
            </w:r>
          </w:p>
        </w:tc>
      </w:tr>
    </w:tbl>
    <w:p>
      <w:pPr>
        <w:spacing w:after="80" w:line="264" w:lineRule="auto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两个 W4 场景</w:t>
      </w:r>
    </w:p>
    <w:tbl>
      <w:tblGrid>
        <w:gridCol w:w="1500"/>
        <w:gridCol w:w="2500"/>
        <w:gridCol w:w="2800"/>
        <w:gridCol w:w="25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场景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演示资料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规则重点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A/B 对比重点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网络流量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CIDDS NetFlow：正常 10k 训练流量 + 异常上传样本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UDP Flags、Packets/Bytes 物理上下界、DNS 端口身份一致性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A 轨生成/复述违规 NetFlow；B 轨输出 0 违规合规样本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财务报表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960 行正确训练数据 + 华信咨询 8 期待审资料包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进销存勾稽、资产负债配平、现金跨期、行业画像、比率背离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A 轨照抄错误数值；B 轨修正营业成本等硬勾稽错误并给出风险提示</w:t>
            </w:r>
          </w:p>
        </w:tc>
      </w:tr>
    </w:tbl>
    <w:p>
      <w:pPr>
        <w:spacing w:after="80" w:line="264" w:lineRule="auto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系统架构</w:t>
      </w:r>
    </w:p>
    <w:p>
      <w:pPr>
        <w:spacing w:line="264" w:lineRule="auto"/>
      </w:pPr>
      <w:r>
        <w:rPr>
          <w:rFonts w:ascii="Calibri" w:hAnsi="Calibri" w:eastAsia="Microsoft YaHei"/>
          <w:b w:val="0"/>
          <w:i w:val="0"/>
          <w:sz w:val="22"/>
        </w:rPr>
        <w:t>项目分为前端工作台、FastAPI 编排层、Forge Core SDK 和场景资产四层。前端负责交互和可视化，后端负责 job 编排和 SSE 事件，Forge Core 封装规则学习、解释、核查、投影和生成，场景目录保存数据规范、规则、知识库和演示样本。</w:t>
      </w:r>
    </w:p>
    <w:tbl>
      <w:tblGrid>
        <w:gridCol w:w="1700"/>
        <w:gridCol w:w="2500"/>
        <w:gridCol w:w="5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层级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模块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职责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Web UI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web/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React/Vite 页面，展示规则卡、上传状态、进度条、核查表、A/B 报告和下载入口。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Orchestrator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server/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FastAPI API、multipart 上传、后台 job、SSE 事件流、内存 store。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Core SDK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forge/core/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规则引擎、RAG 解释器、LLM 路由、LeJIT 生成器、Projector、Reporter。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Scenario Assets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forge/scenarios/ 与 forge/rulesets/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场景 spec、知识库、manual/golden 规则、LeJIT bundle、合规样本。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Demo Assets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demo_artifacts/w4_demo_assets/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演示上传文件、正确训练数据、prompts、用户说明和限制说明。</w:t>
            </w:r>
          </w:p>
        </w:tc>
      </w:tr>
    </w:tbl>
    <w:p>
      <w:pPr>
        <w:spacing w:after="80" w:line="264" w:lineRule="auto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当前实现状态与边界</w:t>
      </w:r>
    </w:p>
    <w:tbl>
      <w:tblGrid>
        <w:gridCol w:w="936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7EF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已实现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232D37"/>
                <w:sz w:val="21"/>
              </w:rPr>
              <w:t>W4 已经实现页面文件选择、上传落盘、dataSourceId 登记、job 请求上下文透传、规则来源区分、手动核查触发、A/B 双轨问题输入、报告预览和 Markdown 下载。</w:t>
            </w:r>
          </w:p>
        </w:tc>
      </w:tr>
    </w:tbl>
    <w:p>
      <w:pPr>
        <w:spacing w:after="80" w:line="264" w:lineRule="auto"/>
      </w:pPr>
    </w:p>
    <w:tbl>
      <w:tblGrid>
        <w:gridCol w:w="936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EAEA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需要如实说明的边界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232D37"/>
                <w:sz w:val="21"/>
              </w:rPr>
              <w:t>当前 W4 上传资料用于触发流程和展示资料来源；核查与 A/B 结果仍复用稳定演示管线，尚未完成任意 CSV、PDF、Word 或 PCAP 文件的通用逐行解析。</w:t>
            </w:r>
          </w:p>
        </w:tc>
      </w:tr>
    </w:tbl>
    <w:p>
      <w:pPr>
        <w:spacing w:after="80" w:line="264" w:lineRule="auto"/>
      </w:pP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2"/>
        </w:rPr>
        <w:t>Ollama 是可选增强；不可用时系统会降级到 codex 或 deterministic mock，保证演示可重复。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2"/>
        </w:rPr>
        <w:t>财务完整 workflow 可能需要几十秒，因为会运行完整校验、投影和报告生成管线。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2"/>
        </w:rPr>
        <w:t>当前 job store 是内存态，适合 demo；生产化需要持久化任务、资料和规则版本。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演示路径</w:t>
      </w:r>
    </w:p>
    <w:p>
      <w:pPr>
        <w:spacing w:line="264" w:lineRule="auto"/>
      </w:pPr>
      <w:r>
        <w:rPr>
          <w:rFonts w:ascii="Calibri" w:hAnsi="Calibri" w:eastAsia="Microsoft YaHei"/>
          <w:b w:val="0"/>
          <w:i w:val="0"/>
          <w:sz w:val="22"/>
        </w:rPr>
        <w:t>演示入口说明见：demo_artifacts/w4_demo_assets/user.md。演示时只上传标注为上传文件的 CSV，其它正确数据、规则和样本用于讲解。</w:t>
      </w:r>
    </w:p>
    <w:tbl>
      <w:tblGrid>
        <w:gridCol w:w="1200"/>
        <w:gridCol w:w="3050"/>
        <w:gridCol w:w="2850"/>
        <w:gridCol w:w="22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Demo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界面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上传文件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复制问题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财务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http://127.0.0.1:5173/?v=w4source#/finance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demo_artifacts/w4_demo_assets/finance/huaxin_audit_package.csv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demo_artifacts/w4_demo_assets/finance/prompts.md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网络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http://127.0.0.1:5173/?v=w4source#/network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demo_artifacts/w4_demo_assets/network/netflow_rule_anomaly_upload.csv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demo_artifacts/w4_demo_assets/network/prompts.md</w:t>
            </w:r>
          </w:p>
        </w:tc>
      </w:tr>
    </w:tbl>
    <w:p>
      <w:pPr>
        <w:spacing w:after="80" w:line="264" w:lineRule="auto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后续产品化方向</w:t>
      </w:r>
    </w:p>
    <w:p>
      <w:pPr>
        <w:pStyle w:val="ListNumber"/>
        <w:spacing w:after="80" w:line="264" w:lineRule="auto"/>
      </w:pPr>
      <w:r>
        <w:rPr>
          <w:rFonts w:ascii="Calibri" w:hAnsi="Calibri" w:eastAsia="Microsoft YaHei"/>
          <w:sz w:val="22"/>
        </w:rPr>
        <w:t>接入真实文档解析：支持 PDF、Word、Excel、CSV、PCAP/NetFlow 的结构化抽取，并把上传资料逐行映射到核查结果。</w:t>
      </w:r>
    </w:p>
    <w:p>
      <w:pPr>
        <w:pStyle w:val="ListNumber"/>
        <w:spacing w:after="80" w:line="264" w:lineRule="auto"/>
      </w:pPr>
      <w:r>
        <w:rPr>
          <w:rFonts w:ascii="Calibri" w:hAnsi="Calibri" w:eastAsia="Microsoft YaHei"/>
          <w:sz w:val="22"/>
        </w:rPr>
        <w:t>规则版本治理：记录规则来源、训练数据、支持率、人工启停、版本差异和审批状态。</w:t>
      </w:r>
    </w:p>
    <w:p>
      <w:pPr>
        <w:pStyle w:val="ListNumber"/>
        <w:spacing w:after="80" w:line="264" w:lineRule="auto"/>
      </w:pPr>
      <w:r>
        <w:rPr>
          <w:rFonts w:ascii="Calibri" w:hAnsi="Calibri" w:eastAsia="Microsoft YaHei"/>
          <w:sz w:val="22"/>
        </w:rPr>
        <w:t>RAG 知识库管理：允许用户上传行业知识、制度文件和审计口径，并把引用透明展示在规则卡和报告中。</w:t>
      </w:r>
    </w:p>
    <w:p>
      <w:pPr>
        <w:pStyle w:val="ListNumber"/>
        <w:spacing w:after="80" w:line="264" w:lineRule="auto"/>
      </w:pPr>
      <w:r>
        <w:rPr>
          <w:rFonts w:ascii="Calibri" w:hAnsi="Calibri" w:eastAsia="Microsoft YaHei"/>
          <w:sz w:val="22"/>
        </w:rPr>
        <w:t>生产级任务系统：持久化 job、文件、规则集、报告和操作审计日志。</w:t>
      </w:r>
    </w:p>
    <w:p>
      <w:pPr>
        <w:pStyle w:val="ListNumber"/>
        <w:spacing w:after="80" w:line="264" w:lineRule="auto"/>
      </w:pPr>
      <w:r>
        <w:rPr>
          <w:rFonts w:ascii="Calibri" w:hAnsi="Calibri" w:eastAsia="Microsoft YaHei"/>
          <w:sz w:val="22"/>
        </w:rPr>
        <w:t>更多垂直场景：从网络和财务扩展到采购、合同、风控、资产运维和安全审计。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结论</w:t>
      </w:r>
    </w:p>
    <w:p>
      <w:pPr>
        <w:spacing w:line="264" w:lineRule="auto"/>
      </w:pPr>
      <w:r>
        <w:rPr>
          <w:rFonts w:ascii="Calibri" w:hAnsi="Calibri" w:eastAsia="Microsoft YaHei"/>
          <w:b w:val="0"/>
          <w:i w:val="0"/>
          <w:sz w:val="22"/>
        </w:rPr>
        <w:t>NetNomos Forge 当前已经具备完整叙事闭环：从规则发现，到规则解释，到上传资料核查，再到 A/B 双轨报告。它展示的不是一个单点模型能力，而是一条面向高约束业务场景的模型控制路线：把规则作为可见、可解释、可复用的产品对象，放在生成流程之前和之中。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color w:val="5C6876"/>
        <w:sz w:val="18"/>
      </w:rPr>
      <w:t>Internal demo brief - generated from project source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b/>
        <w:color w:val="5C6876"/>
        <w:sz w:val="18"/>
      </w:rPr>
      <w:t>NetNomos Forge | Product Introduction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