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226A5">
      <w:pPr>
        <w:spacing w:before="0" w:after="260" w:line="420" w:lineRule="auto"/>
        <w:jc w:val="center"/>
      </w:pPr>
      <w:r>
        <w:rPr>
          <w:rFonts w:ascii="Calibri" w:hAnsi="Calibri" w:eastAsia="宋体" w:cs="Calibri"/>
          <w:b/>
          <w:sz w:val="38"/>
          <w:szCs w:val="38"/>
        </w:rPr>
        <w:t>无线电干扰识别与还原系统</w:t>
      </w:r>
    </w:p>
    <w:p w14:paraId="66A26FFB">
      <w:pPr>
        <w:spacing w:before="0" w:after="320" w:line="360" w:lineRule="auto"/>
        <w:jc w:val="center"/>
      </w:pPr>
      <w:r>
        <w:rPr>
          <w:rFonts w:ascii="Calibri" w:hAnsi="Calibri" w:eastAsia="宋体" w:cs="Calibri"/>
          <w:b/>
          <w:sz w:val="32"/>
          <w:szCs w:val="32"/>
        </w:rPr>
        <w:t>指标完成度说明</w:t>
      </w:r>
    </w:p>
    <w:p w14:paraId="252105FB"/>
    <w:p w14:paraId="44DF2A84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一、指标完成情况概述</w:t>
      </w:r>
    </w:p>
    <w:p w14:paraId="46B3F97B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本系统已完成无线电干扰识别、干扰还原、图形化显示以及质量指标输出等核心功能。系统能够在 RK3588 平台上完成 AD9361 真实信号采集，并通过 Qt 图形界面实时显示识别结果、还原结果以及 IQ 图、星座图、频谱图。</w:t>
      </w:r>
    </w:p>
    <w:p w14:paraId="760CBBD7"/>
    <w:p w14:paraId="5464FE52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在当前系统联调与验收测试场景中，干扰识别链路已打通，识别结果能够在界面中实时显示，当前验收测试记录显示干扰识别正确率达到 100%。</w:t>
      </w:r>
    </w:p>
    <w:p w14:paraId="028A8BEF"/>
    <w:p w14:paraId="4FF0AA18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二、识别指标完成度</w:t>
      </w:r>
    </w:p>
    <w:p w14:paraId="7588EDC3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1. 干扰识别功能：已完成</w:t>
      </w:r>
    </w:p>
    <w:p w14:paraId="1DF7E35E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2. 识别结果界面显示：已完成</w:t>
      </w:r>
    </w:p>
    <w:p w14:paraId="6B30DC97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3. 识别置信度输出：已完成</w:t>
      </w:r>
    </w:p>
    <w:p w14:paraId="48937F8C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4. 当前验收测试正确率：100%</w:t>
      </w:r>
    </w:p>
    <w:p w14:paraId="3A65C9CD"/>
    <w:p w14:paraId="1FF4D7F9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三、还原指标完成度</w:t>
      </w:r>
    </w:p>
    <w:p w14:paraId="396B1292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1. 还原方法输出：已完成</w:t>
      </w:r>
    </w:p>
    <w:p w14:paraId="3AFCBF13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2. 还原结论输出：已完成</w:t>
      </w:r>
    </w:p>
    <w:p w14:paraId="3B8D4039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3. ISR 指标输出：已完成</w:t>
      </w:r>
    </w:p>
    <w:p w14:paraId="61F8A2F0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4. 还原前 EVM 输出：已完成</w:t>
      </w:r>
    </w:p>
    <w:p w14:paraId="5E3F8418">
      <w:pPr>
        <w:spacing w:before="0" w:after="100" w:line="420" w:lineRule="auto"/>
        <w:rPr>
          <w:rFonts w:ascii="Calibri" w:hAnsi="Calibri" w:eastAsia="宋体" w:cs="Calibri"/>
          <w:sz w:val="28"/>
          <w:szCs w:val="28"/>
        </w:rPr>
      </w:pPr>
      <w:r>
        <w:rPr>
          <w:rFonts w:ascii="Calibri" w:hAnsi="Calibri" w:eastAsia="宋体" w:cs="Calibri"/>
          <w:sz w:val="28"/>
          <w:szCs w:val="28"/>
        </w:rPr>
        <w:t>5. 还原后 EVM 输出：已完成</w:t>
      </w:r>
    </w:p>
    <w:p w14:paraId="7FEC2451">
      <w:pPr>
        <w:spacing w:before="0" w:after="100" w:line="420" w:lineRule="auto"/>
      </w:pPr>
      <w:r>
        <w:rPr>
          <w:rFonts w:hint="eastAsia" w:ascii="Calibri" w:hAnsi="Calibri" w:eastAsia="宋体" w:cs="Calibri"/>
          <w:sz w:val="28"/>
          <w:szCs w:val="28"/>
          <w:lang w:val="en-US" w:eastAsia="zh-CN"/>
        </w:rPr>
        <w:t>6</w:t>
      </w:r>
      <w:r>
        <w:rPr>
          <w:rFonts w:ascii="Calibri" w:hAnsi="Calibri" w:eastAsia="宋体" w:cs="Calibri"/>
          <w:sz w:val="28"/>
          <w:szCs w:val="28"/>
        </w:rPr>
        <w:t xml:space="preserve">. 还原前 </w:t>
      </w:r>
      <w:r>
        <w:rPr>
          <w:rFonts w:hint="eastAsia" w:ascii="Calibri" w:hAnsi="Calibri" w:eastAsia="宋体" w:cs="Calibri"/>
          <w:sz w:val="28"/>
          <w:szCs w:val="28"/>
          <w:lang w:val="en-US" w:eastAsia="zh-CN"/>
        </w:rPr>
        <w:t>BER</w:t>
      </w:r>
      <w:r>
        <w:rPr>
          <w:rFonts w:ascii="Calibri" w:hAnsi="Calibri" w:eastAsia="宋体" w:cs="Calibri"/>
          <w:sz w:val="28"/>
          <w:szCs w:val="28"/>
        </w:rPr>
        <w:t xml:space="preserve"> 输出：已完成</w:t>
      </w:r>
    </w:p>
    <w:p w14:paraId="1E7664CA">
      <w:pPr>
        <w:spacing w:before="0" w:after="100" w:line="420" w:lineRule="auto"/>
      </w:pPr>
      <w:r>
        <w:rPr>
          <w:rFonts w:hint="eastAsia" w:ascii="Calibri" w:hAnsi="Calibri" w:eastAsia="宋体" w:cs="Calibri"/>
          <w:sz w:val="28"/>
          <w:szCs w:val="28"/>
          <w:lang w:val="en-US" w:eastAsia="zh-CN"/>
        </w:rPr>
        <w:t>7</w:t>
      </w:r>
      <w:r>
        <w:rPr>
          <w:rFonts w:ascii="Calibri" w:hAnsi="Calibri" w:eastAsia="宋体" w:cs="Calibri"/>
          <w:sz w:val="28"/>
          <w:szCs w:val="28"/>
        </w:rPr>
        <w:t>. 还原</w:t>
      </w:r>
      <w:r>
        <w:rPr>
          <w:rFonts w:hint="eastAsia" w:ascii="Calibri" w:hAnsi="Calibri" w:eastAsia="宋体" w:cs="Calibri"/>
          <w:sz w:val="28"/>
          <w:szCs w:val="28"/>
          <w:lang w:val="en-US" w:eastAsia="zh-CN"/>
        </w:rPr>
        <w:t>后</w:t>
      </w:r>
      <w:r>
        <w:rPr>
          <w:rFonts w:ascii="Calibri" w:hAnsi="Calibri" w:eastAsia="宋体" w:cs="Calibri"/>
          <w:sz w:val="28"/>
          <w:szCs w:val="28"/>
        </w:rPr>
        <w:t xml:space="preserve"> </w:t>
      </w:r>
      <w:r>
        <w:rPr>
          <w:rFonts w:hint="eastAsia" w:ascii="Calibri" w:hAnsi="Calibri" w:eastAsia="宋体" w:cs="Calibri"/>
          <w:sz w:val="28"/>
          <w:szCs w:val="28"/>
          <w:lang w:val="en-US" w:eastAsia="zh-CN"/>
        </w:rPr>
        <w:t>BER</w:t>
      </w:r>
      <w:r>
        <w:rPr>
          <w:rFonts w:ascii="Calibri" w:hAnsi="Calibri" w:eastAsia="宋体" w:cs="Calibri"/>
          <w:sz w:val="28"/>
          <w:szCs w:val="28"/>
        </w:rPr>
        <w:t xml:space="preserve"> 输出：已完成</w:t>
      </w:r>
    </w:p>
    <w:p w14:paraId="59EB7300">
      <w:pPr>
        <w:spacing w:before="0" w:after="100" w:line="420" w:lineRule="auto"/>
        <w:rPr>
          <w:rFonts w:ascii="Calibri" w:hAnsi="Calibri" w:eastAsia="宋体" w:cs="Calibri"/>
          <w:sz w:val="28"/>
          <w:szCs w:val="28"/>
        </w:rPr>
      </w:pPr>
    </w:p>
    <w:p w14:paraId="1D8E73F4"/>
    <w:p w14:paraId="24BDD92E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四、各类干扰指标说明</w:t>
      </w:r>
    </w:p>
    <w:p w14:paraId="52EA3212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1. 无干扰场景</w:t>
      </w:r>
    </w:p>
    <w:p w14:paraId="00008682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系统能够正确识别“无干扰信号”。在该场景下，系统判定无需执行还原处理，因此 ISR、还原前 EVM、还原后 EVM 等指标按“--”显示，不作为还原效果评价项。</w:t>
      </w:r>
    </w:p>
    <w:p w14:paraId="72FD3CAF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2. 干扰还原场景</w:t>
      </w:r>
    </w:p>
    <w:p w14:paraId="3080B10D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对于单频、窄带、宽带、梳状谱、白噪声、噪声调频等干扰类型，系统均已具备输出还原结论、还原方法、ISR、还原前 EVM 和还原后 EVM 的能力。实际指标值可在现场验收或测试过程中由系统界面直接读取，并填写至下表。</w:t>
      </w:r>
    </w:p>
    <w:p w14:paraId="67591B00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五、指标验收记录表</w:t>
      </w:r>
    </w:p>
    <w:tbl>
      <w:tblPr>
        <w:tblStyle w:val="3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"/>
        <w:gridCol w:w="1025"/>
        <w:gridCol w:w="1025"/>
        <w:gridCol w:w="1026"/>
        <w:gridCol w:w="1026"/>
        <w:gridCol w:w="1026"/>
        <w:gridCol w:w="1028"/>
        <w:gridCol w:w="1028"/>
        <w:gridCol w:w="1029"/>
      </w:tblGrid>
      <w:tr w14:paraId="20F64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554" w:type="pct"/>
          </w:tcPr>
          <w:p w14:paraId="764BF03A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发射干扰类型</w:t>
            </w:r>
          </w:p>
        </w:tc>
        <w:tc>
          <w:tcPr>
            <w:tcW w:w="554" w:type="pct"/>
          </w:tcPr>
          <w:p w14:paraId="6E1F13DF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识别结果</w:t>
            </w:r>
          </w:p>
        </w:tc>
        <w:tc>
          <w:tcPr>
            <w:tcW w:w="554" w:type="pct"/>
          </w:tcPr>
          <w:p w14:paraId="5EA17755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还原前EVM</w:t>
            </w:r>
          </w:p>
        </w:tc>
        <w:tc>
          <w:tcPr>
            <w:tcW w:w="555" w:type="pct"/>
          </w:tcPr>
          <w:p w14:paraId="41523DED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还原后EVM</w:t>
            </w:r>
          </w:p>
        </w:tc>
        <w:tc>
          <w:tcPr>
            <w:tcW w:w="555" w:type="pct"/>
          </w:tcPr>
          <w:p w14:paraId="016D7CCA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ISR（db）</w:t>
            </w:r>
          </w:p>
        </w:tc>
        <w:tc>
          <w:tcPr>
            <w:tcW w:w="555" w:type="pct"/>
          </w:tcPr>
          <w:p w14:paraId="3DE06DA3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还原前BER</w:t>
            </w:r>
          </w:p>
        </w:tc>
        <w:tc>
          <w:tcPr>
            <w:tcW w:w="556" w:type="pct"/>
          </w:tcPr>
          <w:p w14:paraId="152E2056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还原后BER</w:t>
            </w:r>
          </w:p>
        </w:tc>
        <w:tc>
          <w:tcPr>
            <w:tcW w:w="556" w:type="pct"/>
          </w:tcPr>
          <w:p w14:paraId="6AC6372C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识别耗时（ms）</w:t>
            </w:r>
          </w:p>
        </w:tc>
        <w:tc>
          <w:tcPr>
            <w:tcW w:w="556" w:type="pct"/>
          </w:tcPr>
          <w:p w14:paraId="38DB4C7A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还原耗时</w:t>
            </w:r>
          </w:p>
          <w:p w14:paraId="229FE7F1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（ms）</w:t>
            </w:r>
          </w:p>
        </w:tc>
      </w:tr>
      <w:tr w14:paraId="7C389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554" w:type="pct"/>
          </w:tcPr>
          <w:p w14:paraId="720FDEEB">
            <w:pPr>
              <w:jc w:val="center"/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无干扰</w:t>
            </w:r>
          </w:p>
        </w:tc>
        <w:tc>
          <w:tcPr>
            <w:tcW w:w="554" w:type="pct"/>
          </w:tcPr>
          <w:p w14:paraId="752AA8A1">
            <w:pPr>
              <w:jc w:val="center"/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无干扰</w:t>
            </w:r>
          </w:p>
        </w:tc>
        <w:tc>
          <w:tcPr>
            <w:tcW w:w="554" w:type="pct"/>
          </w:tcPr>
          <w:p w14:paraId="2A13F5B2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555" w:type="pct"/>
          </w:tcPr>
          <w:p w14:paraId="51075CD4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555" w:type="pct"/>
          </w:tcPr>
          <w:p w14:paraId="24F115CE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555" w:type="pct"/>
          </w:tcPr>
          <w:p w14:paraId="0A79F041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0.107</w:t>
            </w:r>
          </w:p>
        </w:tc>
        <w:tc>
          <w:tcPr>
            <w:tcW w:w="556" w:type="pct"/>
          </w:tcPr>
          <w:p w14:paraId="02C6142E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0.107</w:t>
            </w:r>
          </w:p>
        </w:tc>
        <w:tc>
          <w:tcPr>
            <w:tcW w:w="556" w:type="pct"/>
          </w:tcPr>
          <w:p w14:paraId="5922C505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33</w:t>
            </w:r>
          </w:p>
        </w:tc>
        <w:tc>
          <w:tcPr>
            <w:tcW w:w="556" w:type="pct"/>
          </w:tcPr>
          <w:p w14:paraId="7F4F8BAE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32</w:t>
            </w:r>
          </w:p>
        </w:tc>
      </w:tr>
      <w:tr w14:paraId="5BFAB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554" w:type="pct"/>
          </w:tcPr>
          <w:p w14:paraId="6CDF5324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单频干扰</w:t>
            </w:r>
          </w:p>
        </w:tc>
        <w:tc>
          <w:tcPr>
            <w:tcW w:w="554" w:type="pct"/>
          </w:tcPr>
          <w:p w14:paraId="2A990B14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单频干扰</w:t>
            </w:r>
          </w:p>
        </w:tc>
        <w:tc>
          <w:tcPr>
            <w:tcW w:w="554" w:type="pct"/>
          </w:tcPr>
          <w:p w14:paraId="0AEE6721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66%</w:t>
            </w:r>
          </w:p>
        </w:tc>
        <w:tc>
          <w:tcPr>
            <w:tcW w:w="555" w:type="pct"/>
          </w:tcPr>
          <w:p w14:paraId="6709A3CE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33%</w:t>
            </w:r>
          </w:p>
        </w:tc>
        <w:tc>
          <w:tcPr>
            <w:tcW w:w="555" w:type="pct"/>
          </w:tcPr>
          <w:p w14:paraId="26FAF0DF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22</w:t>
            </w:r>
          </w:p>
        </w:tc>
        <w:tc>
          <w:tcPr>
            <w:tcW w:w="555" w:type="pct"/>
          </w:tcPr>
          <w:p w14:paraId="18D09662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0.000</w:t>
            </w:r>
          </w:p>
        </w:tc>
        <w:tc>
          <w:tcPr>
            <w:tcW w:w="556" w:type="pct"/>
          </w:tcPr>
          <w:p w14:paraId="69DAE278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0.000</w:t>
            </w:r>
          </w:p>
        </w:tc>
        <w:tc>
          <w:tcPr>
            <w:tcW w:w="556" w:type="pct"/>
          </w:tcPr>
          <w:p w14:paraId="1565E420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15</w:t>
            </w:r>
          </w:p>
        </w:tc>
        <w:tc>
          <w:tcPr>
            <w:tcW w:w="556" w:type="pct"/>
          </w:tcPr>
          <w:p w14:paraId="7972AEA1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349</w:t>
            </w:r>
          </w:p>
        </w:tc>
      </w:tr>
      <w:tr w14:paraId="4F98D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554" w:type="pct"/>
          </w:tcPr>
          <w:p w14:paraId="11AA4C22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窄带干扰</w:t>
            </w:r>
          </w:p>
        </w:tc>
        <w:tc>
          <w:tcPr>
            <w:tcW w:w="554" w:type="pct"/>
          </w:tcPr>
          <w:p w14:paraId="5C95FE32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窄带干扰</w:t>
            </w:r>
          </w:p>
        </w:tc>
        <w:tc>
          <w:tcPr>
            <w:tcW w:w="554" w:type="pct"/>
          </w:tcPr>
          <w:p w14:paraId="4E67BE81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65%</w:t>
            </w:r>
          </w:p>
        </w:tc>
        <w:tc>
          <w:tcPr>
            <w:tcW w:w="555" w:type="pct"/>
          </w:tcPr>
          <w:p w14:paraId="6AE6DEC4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31%</w:t>
            </w:r>
          </w:p>
        </w:tc>
        <w:tc>
          <w:tcPr>
            <w:tcW w:w="555" w:type="pct"/>
          </w:tcPr>
          <w:p w14:paraId="03B9CE39">
            <w:pPr>
              <w:jc w:val="center"/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</w:t>
            </w:r>
          </w:p>
        </w:tc>
        <w:tc>
          <w:tcPr>
            <w:tcW w:w="555" w:type="pct"/>
          </w:tcPr>
          <w:p w14:paraId="25D58F42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0.064</w:t>
            </w:r>
          </w:p>
        </w:tc>
        <w:tc>
          <w:tcPr>
            <w:tcW w:w="556" w:type="pct"/>
          </w:tcPr>
          <w:p w14:paraId="3C9A2E4D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0.000</w:t>
            </w:r>
          </w:p>
        </w:tc>
        <w:tc>
          <w:tcPr>
            <w:tcW w:w="556" w:type="pct"/>
          </w:tcPr>
          <w:p w14:paraId="1413077A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16</w:t>
            </w:r>
          </w:p>
        </w:tc>
        <w:tc>
          <w:tcPr>
            <w:tcW w:w="556" w:type="pct"/>
          </w:tcPr>
          <w:p w14:paraId="3D1D66DA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88</w:t>
            </w:r>
          </w:p>
        </w:tc>
      </w:tr>
      <w:tr w14:paraId="2C48E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554" w:type="pct"/>
          </w:tcPr>
          <w:p w14:paraId="1AE544F0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宽带阻塞干扰</w:t>
            </w:r>
          </w:p>
        </w:tc>
        <w:tc>
          <w:tcPr>
            <w:tcW w:w="554" w:type="pct"/>
          </w:tcPr>
          <w:p w14:paraId="5AFA5C8A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宽带阻塞干扰</w:t>
            </w:r>
          </w:p>
        </w:tc>
        <w:tc>
          <w:tcPr>
            <w:tcW w:w="554" w:type="pct"/>
          </w:tcPr>
          <w:p w14:paraId="4F62C1CD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48%</w:t>
            </w:r>
          </w:p>
        </w:tc>
        <w:tc>
          <w:tcPr>
            <w:tcW w:w="555" w:type="pct"/>
          </w:tcPr>
          <w:p w14:paraId="1771E6E5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31%</w:t>
            </w:r>
          </w:p>
        </w:tc>
        <w:tc>
          <w:tcPr>
            <w:tcW w:w="555" w:type="pct"/>
          </w:tcPr>
          <w:p w14:paraId="199AB628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0.25</w:t>
            </w:r>
          </w:p>
        </w:tc>
        <w:tc>
          <w:tcPr>
            <w:tcW w:w="555" w:type="pct"/>
          </w:tcPr>
          <w:p w14:paraId="1FAE986F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0.055</w:t>
            </w:r>
          </w:p>
        </w:tc>
        <w:tc>
          <w:tcPr>
            <w:tcW w:w="556" w:type="pct"/>
          </w:tcPr>
          <w:p w14:paraId="088E8209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0.000</w:t>
            </w:r>
          </w:p>
        </w:tc>
        <w:tc>
          <w:tcPr>
            <w:tcW w:w="556" w:type="pct"/>
          </w:tcPr>
          <w:p w14:paraId="76B89420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30</w:t>
            </w:r>
          </w:p>
        </w:tc>
        <w:tc>
          <w:tcPr>
            <w:tcW w:w="556" w:type="pct"/>
          </w:tcPr>
          <w:p w14:paraId="2FC4EFEA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63</w:t>
            </w:r>
          </w:p>
        </w:tc>
      </w:tr>
      <w:tr w14:paraId="43C1E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554" w:type="pct"/>
          </w:tcPr>
          <w:p w14:paraId="69BB41D0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梳状谱干扰</w:t>
            </w:r>
          </w:p>
        </w:tc>
        <w:tc>
          <w:tcPr>
            <w:tcW w:w="554" w:type="pct"/>
          </w:tcPr>
          <w:p w14:paraId="2C996749">
            <w:pPr>
              <w:jc w:val="center"/>
              <w:rPr>
                <w:b/>
                <w:bCs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梳状谱干扰</w:t>
            </w:r>
          </w:p>
        </w:tc>
        <w:tc>
          <w:tcPr>
            <w:tcW w:w="554" w:type="pct"/>
          </w:tcPr>
          <w:p w14:paraId="7AF17E29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66%</w:t>
            </w:r>
          </w:p>
        </w:tc>
        <w:tc>
          <w:tcPr>
            <w:tcW w:w="555" w:type="pct"/>
          </w:tcPr>
          <w:p w14:paraId="642B5264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30%</w:t>
            </w:r>
          </w:p>
        </w:tc>
        <w:tc>
          <w:tcPr>
            <w:tcW w:w="555" w:type="pct"/>
          </w:tcPr>
          <w:p w14:paraId="085DCE9B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2.7</w:t>
            </w:r>
          </w:p>
        </w:tc>
        <w:tc>
          <w:tcPr>
            <w:tcW w:w="555" w:type="pct"/>
          </w:tcPr>
          <w:p w14:paraId="7AC43401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0.063</w:t>
            </w:r>
          </w:p>
        </w:tc>
        <w:tc>
          <w:tcPr>
            <w:tcW w:w="556" w:type="pct"/>
          </w:tcPr>
          <w:p w14:paraId="677B1AC1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0.000</w:t>
            </w:r>
          </w:p>
        </w:tc>
        <w:tc>
          <w:tcPr>
            <w:tcW w:w="556" w:type="pct"/>
          </w:tcPr>
          <w:p w14:paraId="21A8570B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15</w:t>
            </w:r>
          </w:p>
        </w:tc>
        <w:tc>
          <w:tcPr>
            <w:tcW w:w="556" w:type="pct"/>
          </w:tcPr>
          <w:p w14:paraId="64B9DF5D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102</w:t>
            </w:r>
          </w:p>
        </w:tc>
      </w:tr>
      <w:tr w14:paraId="006A2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554" w:type="pct"/>
          </w:tcPr>
          <w:p w14:paraId="238D98EC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白噪声干扰</w:t>
            </w:r>
          </w:p>
        </w:tc>
        <w:tc>
          <w:tcPr>
            <w:tcW w:w="554" w:type="pct"/>
          </w:tcPr>
          <w:p w14:paraId="45D2397B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白噪声干扰</w:t>
            </w:r>
          </w:p>
        </w:tc>
        <w:tc>
          <w:tcPr>
            <w:tcW w:w="554" w:type="pct"/>
          </w:tcPr>
          <w:p w14:paraId="705AC483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62%</w:t>
            </w:r>
          </w:p>
        </w:tc>
        <w:tc>
          <w:tcPr>
            <w:tcW w:w="555" w:type="pct"/>
          </w:tcPr>
          <w:p w14:paraId="57C4757B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28%</w:t>
            </w:r>
          </w:p>
        </w:tc>
        <w:tc>
          <w:tcPr>
            <w:tcW w:w="555" w:type="pct"/>
          </w:tcPr>
          <w:p w14:paraId="1277B038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10</w:t>
            </w:r>
          </w:p>
        </w:tc>
        <w:tc>
          <w:tcPr>
            <w:tcW w:w="555" w:type="pct"/>
          </w:tcPr>
          <w:p w14:paraId="4E0A94F4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0.055</w:t>
            </w:r>
          </w:p>
        </w:tc>
        <w:tc>
          <w:tcPr>
            <w:tcW w:w="556" w:type="pct"/>
          </w:tcPr>
          <w:p w14:paraId="1448F377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0.000</w:t>
            </w:r>
          </w:p>
        </w:tc>
        <w:tc>
          <w:tcPr>
            <w:tcW w:w="556" w:type="pct"/>
          </w:tcPr>
          <w:p w14:paraId="1DCADEDA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21</w:t>
            </w:r>
          </w:p>
        </w:tc>
        <w:tc>
          <w:tcPr>
            <w:tcW w:w="556" w:type="pct"/>
          </w:tcPr>
          <w:p w14:paraId="0604FB1C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66</w:t>
            </w:r>
          </w:p>
        </w:tc>
      </w:tr>
      <w:tr w14:paraId="57D31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554" w:type="pct"/>
          </w:tcPr>
          <w:p w14:paraId="40AEA99D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噪声调频干扰</w:t>
            </w:r>
          </w:p>
        </w:tc>
        <w:tc>
          <w:tcPr>
            <w:tcW w:w="554" w:type="pct"/>
          </w:tcPr>
          <w:p w14:paraId="1FDCBBA1">
            <w:pPr>
              <w:jc w:val="center"/>
              <w:rPr>
                <w:b/>
                <w:bCs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噪声调频干扰</w:t>
            </w:r>
          </w:p>
        </w:tc>
        <w:tc>
          <w:tcPr>
            <w:tcW w:w="554" w:type="pct"/>
          </w:tcPr>
          <w:p w14:paraId="6986FCCB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56%</w:t>
            </w:r>
          </w:p>
        </w:tc>
        <w:tc>
          <w:tcPr>
            <w:tcW w:w="555" w:type="pct"/>
          </w:tcPr>
          <w:p w14:paraId="5E3731B0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27%</w:t>
            </w:r>
          </w:p>
        </w:tc>
        <w:tc>
          <w:tcPr>
            <w:tcW w:w="555" w:type="pct"/>
          </w:tcPr>
          <w:p w14:paraId="4B8CC496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0.5</w:t>
            </w:r>
          </w:p>
        </w:tc>
        <w:tc>
          <w:tcPr>
            <w:tcW w:w="555" w:type="pct"/>
          </w:tcPr>
          <w:p w14:paraId="04380622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0.062</w:t>
            </w:r>
          </w:p>
        </w:tc>
        <w:tc>
          <w:tcPr>
            <w:tcW w:w="556" w:type="pct"/>
          </w:tcPr>
          <w:p w14:paraId="24BC716E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0.000</w:t>
            </w:r>
          </w:p>
        </w:tc>
        <w:tc>
          <w:tcPr>
            <w:tcW w:w="556" w:type="pct"/>
          </w:tcPr>
          <w:p w14:paraId="4D078E06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14</w:t>
            </w:r>
          </w:p>
        </w:tc>
        <w:tc>
          <w:tcPr>
            <w:tcW w:w="556" w:type="pct"/>
          </w:tcPr>
          <w:p w14:paraId="62E6DF81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69</w:t>
            </w:r>
            <w:bookmarkStart w:id="0" w:name="_GoBack"/>
            <w:bookmarkEnd w:id="0"/>
          </w:p>
        </w:tc>
      </w:tr>
    </w:tbl>
    <w:p w14:paraId="3552666D"/>
    <w:p w14:paraId="55BFFDD4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六、结论</w:t>
      </w:r>
    </w:p>
    <w:p w14:paraId="28E0CE8E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综合当前系统联调结果，本系统已完成既定功能目标，具备以下能力：</w:t>
      </w:r>
    </w:p>
    <w:p w14:paraId="6E697083">
      <w:pPr>
        <w:numPr>
          <w:ilvl w:val="0"/>
          <w:numId w:val="1"/>
        </w:numPr>
        <w:spacing w:before="0" w:after="100" w:line="420" w:lineRule="auto"/>
        <w:rPr>
          <w:rFonts w:ascii="Calibri" w:hAnsi="Calibri" w:eastAsia="宋体" w:cs="Calibri"/>
          <w:sz w:val="28"/>
          <w:szCs w:val="28"/>
        </w:rPr>
      </w:pPr>
      <w:r>
        <w:rPr>
          <w:rFonts w:ascii="Calibri" w:hAnsi="Calibri" w:eastAsia="宋体" w:cs="Calibri"/>
          <w:sz w:val="28"/>
          <w:szCs w:val="28"/>
        </w:rPr>
        <w:t>真实采集信号干扰识别</w:t>
      </w:r>
      <w:r>
        <w:rPr>
          <w:rFonts w:hint="eastAsia" w:ascii="Calibri" w:hAnsi="Calibri" w:eastAsia="宋体" w:cs="Calibri"/>
          <w:sz w:val="28"/>
          <w:szCs w:val="28"/>
          <w:lang w:val="en-US" w:eastAsia="zh-CN"/>
        </w:rPr>
        <w:t>及数字模拟调制方式选择</w:t>
      </w:r>
    </w:p>
    <w:p w14:paraId="1C587531">
      <w:pPr>
        <w:spacing w:before="0" w:after="100" w:line="420" w:lineRule="auto"/>
        <w:rPr>
          <w:rFonts w:ascii="Calibri" w:hAnsi="Calibri" w:eastAsia="宋体" w:cs="Calibri"/>
          <w:sz w:val="28"/>
          <w:szCs w:val="28"/>
        </w:rPr>
      </w:pPr>
      <w:r>
        <w:rPr>
          <w:rFonts w:ascii="Calibri" w:hAnsi="Calibri" w:eastAsia="宋体" w:cs="Calibri"/>
          <w:sz w:val="28"/>
          <w:szCs w:val="28"/>
        </w:rPr>
        <w:t>2. 干扰还原处理</w:t>
      </w:r>
    </w:p>
    <w:p w14:paraId="78F6C475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3. ISR、EVM </w:t>
      </w:r>
      <w:r>
        <w:rPr>
          <w:rFonts w:hint="eastAsia" w:ascii="Calibri" w:hAnsi="Calibri" w:eastAsia="宋体" w:cs="Calibri"/>
          <w:sz w:val="28"/>
          <w:szCs w:val="28"/>
          <w:lang w:eastAsia="zh-CN"/>
        </w:rPr>
        <w:t>、</w:t>
      </w:r>
      <w:r>
        <w:rPr>
          <w:rFonts w:hint="eastAsia" w:ascii="Calibri" w:hAnsi="Calibri" w:eastAsia="宋体" w:cs="Calibri"/>
          <w:sz w:val="28"/>
          <w:szCs w:val="28"/>
          <w:lang w:val="en-US" w:eastAsia="zh-CN"/>
        </w:rPr>
        <w:t>BER</w:t>
      </w:r>
      <w:r>
        <w:rPr>
          <w:rFonts w:ascii="Calibri" w:hAnsi="Calibri" w:eastAsia="宋体" w:cs="Calibri"/>
          <w:sz w:val="28"/>
          <w:szCs w:val="28"/>
        </w:rPr>
        <w:t>等质量指标输出</w:t>
      </w:r>
    </w:p>
    <w:p w14:paraId="7AD28386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4. 图形化结果展示</w:t>
      </w:r>
    </w:p>
    <w:p w14:paraId="40C3342E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5. 板端本地运行与现场演示</w:t>
      </w:r>
    </w:p>
    <w:p w14:paraId="2D7204FE"/>
    <w:p w14:paraId="5C5CA32D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其中，干扰识别正确率在当前验收测试记录中达到 100%。对于各类干扰还原效果，系统已具备完整指标输出能力，可在正式验收过程中按照界面实时结果补充 ISR </w:t>
      </w:r>
      <w:r>
        <w:rPr>
          <w:rFonts w:hint="eastAsia" w:ascii="Calibri" w:hAnsi="Calibri" w:eastAsia="宋体" w:cs="Calibri"/>
          <w:sz w:val="28"/>
          <w:szCs w:val="28"/>
          <w:lang w:eastAsia="zh-CN"/>
        </w:rPr>
        <w:t>、</w:t>
      </w:r>
      <w:r>
        <w:rPr>
          <w:rFonts w:ascii="Calibri" w:hAnsi="Calibri" w:eastAsia="宋体" w:cs="Calibri"/>
          <w:sz w:val="28"/>
          <w:szCs w:val="28"/>
        </w:rPr>
        <w:t>EVM</w:t>
      </w:r>
      <w:r>
        <w:rPr>
          <w:rFonts w:hint="eastAsia" w:ascii="Calibri" w:hAnsi="Calibri" w:eastAsia="宋体" w:cs="Calibri"/>
          <w:sz w:val="28"/>
          <w:szCs w:val="28"/>
          <w:lang w:eastAsia="zh-CN"/>
        </w:rPr>
        <w:t>、</w:t>
      </w:r>
      <w:r>
        <w:rPr>
          <w:rFonts w:hint="eastAsia" w:ascii="Calibri" w:hAnsi="Calibri" w:eastAsia="宋体" w:cs="Calibri"/>
          <w:sz w:val="28"/>
          <w:szCs w:val="28"/>
          <w:lang w:val="en-US" w:eastAsia="zh-CN"/>
        </w:rPr>
        <w:t>BER</w:t>
      </w:r>
      <w:r>
        <w:rPr>
          <w:rFonts w:ascii="Calibri" w:hAnsi="Calibri" w:eastAsia="宋体" w:cs="Calibri"/>
          <w:sz w:val="28"/>
          <w:szCs w:val="28"/>
        </w:rPr>
        <w:t xml:space="preserve"> 实测数值。</w:t>
      </w:r>
    </w:p>
    <w:p w14:paraId="368B80EE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230E78"/>
    <w:multiLevelType w:val="singleLevel"/>
    <w:tmpl w:val="24230E7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18810CD"/>
    <w:rsid w:val="124D75E6"/>
    <w:rsid w:val="40957C0C"/>
    <w:rsid w:val="454F7641"/>
    <w:rsid w:val="47CC1E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766</Words>
  <Characters>875</Characters>
  <TotalTime>8</TotalTime>
  <ScaleCrop>false</ScaleCrop>
  <LinksUpToDate>false</LinksUpToDate>
  <CharactersWithSpaces>919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2026-03-21T04:45:00Z</dcterms:created>
  <dc:creator>20217</dc:creator>
  <cp:lastModifiedBy>何俊榆</cp:lastModifiedBy>
  <dcterms:modified xsi:type="dcterms:W3CDTF">2026-03-29T05:47:32Z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eyJoZGlkIjoiM2YwNDU1MWM4ZTdlYTZiYjhlOTRiZTBlN2FjZTA2ZWQiLCJ1c2VySWQiOiIxNzI0NDI0MDYzIn0=</vt:lpwstr>
  </property>
  <property fmtid="{D5CDD505-2E9C-101B-9397-08002B2CF9AE}" pid="3" name="KSOProductBuildVer">
    <vt:lpwstr>2052-12.1.0.25225</vt:lpwstr>
  </property>
  <property fmtid="{D5CDD505-2E9C-101B-9397-08002B2CF9AE}" pid="4" name="ICV">
    <vt:lpwstr>CC4A43A4525F455A9364BF82F4AFBBA3_12</vt:lpwstr>
  </property>
</Properties>
</file>