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226A5">
      <w:pPr>
        <w:spacing w:before="0" w:after="260" w:line="420" w:lineRule="auto"/>
        <w:jc w:val="center"/>
      </w:pPr>
      <w:r>
        <w:rPr>
          <w:rFonts w:ascii="Calibri" w:hAnsi="Calibri" w:eastAsia="宋体" w:cs="Calibri"/>
          <w:b/>
          <w:sz w:val="38"/>
          <w:szCs w:val="38"/>
        </w:rPr>
        <w:t>无线电干扰识别与还原系统</w:t>
      </w:r>
    </w:p>
    <w:p w14:paraId="66A26FFB">
      <w:pPr>
        <w:spacing w:before="0" w:after="320" w:line="360" w:lineRule="auto"/>
        <w:jc w:val="center"/>
      </w:pPr>
      <w:r>
        <w:rPr>
          <w:rFonts w:ascii="Calibri" w:hAnsi="Calibri" w:eastAsia="宋体" w:cs="Calibri"/>
          <w:b/>
          <w:sz w:val="32"/>
          <w:szCs w:val="32"/>
        </w:rPr>
        <w:t>指标完成度说明</w:t>
      </w:r>
    </w:p>
    <w:p w14:paraId="252105FB"/>
    <w:p w14:paraId="44DF2A84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一、指标完成情况概述</w:t>
      </w:r>
    </w:p>
    <w:p w14:paraId="46B3F97B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本系统已完成无线电干扰识别、干扰还原、图形化显示以及质量指标输出等核心功能。系统能够在 RK3588 平台上完成 AD9361 真实信号采集，并通过 Qt 图形界面实时显示识别结果、还原结果以及 IQ 图、星座图、频谱图。</w:t>
      </w:r>
    </w:p>
    <w:p w14:paraId="760CBBD7"/>
    <w:p w14:paraId="5464FE5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在当前系统联调与验收测试场景中，干扰识别链路已打通，识别结果能够在界面中实时显示，当前验收测试记录显示干扰识别正确率达到 100%。</w:t>
      </w:r>
    </w:p>
    <w:p w14:paraId="028A8BEF"/>
    <w:p w14:paraId="4FF0AA18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二、识别指标完成度</w:t>
      </w:r>
    </w:p>
    <w:p w14:paraId="7588EDC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干扰识别功能：已完成</w:t>
      </w:r>
    </w:p>
    <w:p w14:paraId="1DF7E35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识别结果界面显示：已完成</w:t>
      </w:r>
    </w:p>
    <w:p w14:paraId="6B30DC97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识别置信度输出：已完成</w:t>
      </w:r>
    </w:p>
    <w:p w14:paraId="48937F8C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当前验收测试正确率：100%</w:t>
      </w:r>
    </w:p>
    <w:p w14:paraId="3A65C9CD"/>
    <w:p w14:paraId="1FF4D7F9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三、还原指标完成度</w:t>
      </w:r>
    </w:p>
    <w:p w14:paraId="396B129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还原方法输出：已完成</w:t>
      </w:r>
    </w:p>
    <w:p w14:paraId="3AFCBF13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还原结论输出：已完成</w:t>
      </w:r>
    </w:p>
    <w:p w14:paraId="3B8D4039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ISR 指标输出：已完成</w:t>
      </w:r>
    </w:p>
    <w:p w14:paraId="61F8A2F0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还原前 EVM 输出：已完成</w:t>
      </w:r>
    </w:p>
    <w:p w14:paraId="5E3F8418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还原后 EVM 输出：已完成</w:t>
      </w:r>
    </w:p>
    <w:p w14:paraId="1D8E73F4"/>
    <w:p w14:paraId="24BDD92E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四、各类干扰指标说明</w:t>
      </w:r>
    </w:p>
    <w:p w14:paraId="52EA321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无干扰场景</w:t>
      </w:r>
    </w:p>
    <w:p w14:paraId="00008682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系统能够正确识别“无干扰信号”。在该场景下，系统判定无需执行还原处理，因此 ISR、还原前 EVM、还原后 EVM 等指标按“--”显示，不作为还原效果评价项。</w:t>
      </w:r>
    </w:p>
    <w:p w14:paraId="72FD3CAF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干扰还原场景</w:t>
      </w:r>
    </w:p>
    <w:p w14:paraId="3080B10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对于单频、窄带、宽带、梳状谱、白噪声、噪声调频等干扰类型，系统均已具备输出还原结论、还原方法、ISR、还原前 EVM 和还原后 EVM 的能力。实际指标值可在现场验收或测试过程中由系统界面直接读</w:t>
      </w:r>
      <w:bookmarkStart w:id="0" w:name="_GoBack"/>
      <w:bookmarkEnd w:id="0"/>
      <w:r>
        <w:rPr>
          <w:rFonts w:ascii="Calibri" w:hAnsi="Calibri" w:eastAsia="宋体" w:cs="Calibri"/>
          <w:sz w:val="28"/>
          <w:szCs w:val="28"/>
        </w:rPr>
        <w:t>取，并填写至下表。</w:t>
      </w:r>
    </w:p>
    <w:p w14:paraId="67591B00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五、指标验收记录表</w:t>
      </w:r>
    </w:p>
    <w:tbl>
      <w:tblPr>
        <w:tblStyle w:val="3"/>
        <w:tblW w:w="92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59"/>
        <w:gridCol w:w="1859"/>
        <w:gridCol w:w="1859"/>
        <w:gridCol w:w="1860"/>
        <w:gridCol w:w="1860"/>
      </w:tblGrid>
      <w:tr w14:paraId="710FE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859" w:type="dxa"/>
          </w:tcPr>
          <w:p w14:paraId="764BF03A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发射干扰类型</w:t>
            </w:r>
          </w:p>
        </w:tc>
        <w:tc>
          <w:tcPr>
            <w:tcW w:w="1859" w:type="dxa"/>
          </w:tcPr>
          <w:p w14:paraId="6E1F13DF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识别结果</w:t>
            </w:r>
          </w:p>
        </w:tc>
        <w:tc>
          <w:tcPr>
            <w:tcW w:w="1859" w:type="dxa"/>
          </w:tcPr>
          <w:p w14:paraId="5EA17755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还原前EVM</w:t>
            </w:r>
          </w:p>
        </w:tc>
        <w:tc>
          <w:tcPr>
            <w:tcW w:w="1860" w:type="dxa"/>
          </w:tcPr>
          <w:p w14:paraId="41523DED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还原后EVM</w:t>
            </w:r>
          </w:p>
        </w:tc>
        <w:tc>
          <w:tcPr>
            <w:tcW w:w="1860" w:type="dxa"/>
          </w:tcPr>
          <w:p w14:paraId="016D7CCA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ISR（db）</w:t>
            </w:r>
          </w:p>
        </w:tc>
      </w:tr>
      <w:tr w14:paraId="08D47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859" w:type="dxa"/>
          </w:tcPr>
          <w:p w14:paraId="720FDEEB">
            <w:pPr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无干扰</w:t>
            </w:r>
          </w:p>
        </w:tc>
        <w:tc>
          <w:tcPr>
            <w:tcW w:w="1859" w:type="dxa"/>
          </w:tcPr>
          <w:p w14:paraId="752AA8A1">
            <w:pPr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无干扰</w:t>
            </w:r>
          </w:p>
        </w:tc>
        <w:tc>
          <w:tcPr>
            <w:tcW w:w="1859" w:type="dxa"/>
          </w:tcPr>
          <w:p w14:paraId="2A13F5B2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860" w:type="dxa"/>
          </w:tcPr>
          <w:p w14:paraId="51075CD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  <w:tc>
          <w:tcPr>
            <w:tcW w:w="1860" w:type="dxa"/>
          </w:tcPr>
          <w:p w14:paraId="24F115CE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--</w:t>
            </w:r>
          </w:p>
        </w:tc>
      </w:tr>
      <w:tr w14:paraId="0DCA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859" w:type="dxa"/>
          </w:tcPr>
          <w:p w14:paraId="6CDF532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单频干扰</w:t>
            </w:r>
          </w:p>
        </w:tc>
        <w:tc>
          <w:tcPr>
            <w:tcW w:w="1859" w:type="dxa"/>
          </w:tcPr>
          <w:p w14:paraId="2A990B1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单频干扰</w:t>
            </w:r>
          </w:p>
        </w:tc>
        <w:tc>
          <w:tcPr>
            <w:tcW w:w="1859" w:type="dxa"/>
          </w:tcPr>
          <w:p w14:paraId="0AEE6721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66%</w:t>
            </w:r>
          </w:p>
        </w:tc>
        <w:tc>
          <w:tcPr>
            <w:tcW w:w="1860" w:type="dxa"/>
          </w:tcPr>
          <w:p w14:paraId="6709A3CE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33%</w:t>
            </w:r>
          </w:p>
        </w:tc>
        <w:tc>
          <w:tcPr>
            <w:tcW w:w="1860" w:type="dxa"/>
          </w:tcPr>
          <w:p w14:paraId="26FAF0DF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22</w:t>
            </w:r>
          </w:p>
        </w:tc>
      </w:tr>
      <w:tr w14:paraId="61641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859" w:type="dxa"/>
          </w:tcPr>
          <w:p w14:paraId="11AA4C22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窄带干扰</w:t>
            </w:r>
          </w:p>
        </w:tc>
        <w:tc>
          <w:tcPr>
            <w:tcW w:w="1859" w:type="dxa"/>
          </w:tcPr>
          <w:p w14:paraId="5C95FE32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窄带干扰</w:t>
            </w:r>
          </w:p>
        </w:tc>
        <w:tc>
          <w:tcPr>
            <w:tcW w:w="1859" w:type="dxa"/>
          </w:tcPr>
          <w:p w14:paraId="4E67BE81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65%</w:t>
            </w:r>
          </w:p>
        </w:tc>
        <w:tc>
          <w:tcPr>
            <w:tcW w:w="1860" w:type="dxa"/>
          </w:tcPr>
          <w:p w14:paraId="6AE6DEC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31%</w:t>
            </w:r>
          </w:p>
        </w:tc>
        <w:tc>
          <w:tcPr>
            <w:tcW w:w="1860" w:type="dxa"/>
          </w:tcPr>
          <w:p w14:paraId="03B9CE39">
            <w:pPr>
              <w:jc w:val="center"/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</w:t>
            </w:r>
          </w:p>
        </w:tc>
      </w:tr>
      <w:tr w14:paraId="780C3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859" w:type="dxa"/>
          </w:tcPr>
          <w:p w14:paraId="1AE544F0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宽带阻塞干扰</w:t>
            </w:r>
          </w:p>
        </w:tc>
        <w:tc>
          <w:tcPr>
            <w:tcW w:w="1859" w:type="dxa"/>
          </w:tcPr>
          <w:p w14:paraId="5AFA5C8A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宽带阻塞干扰</w:t>
            </w:r>
          </w:p>
        </w:tc>
        <w:tc>
          <w:tcPr>
            <w:tcW w:w="1859" w:type="dxa"/>
          </w:tcPr>
          <w:p w14:paraId="4F62C1CD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48%</w:t>
            </w:r>
          </w:p>
        </w:tc>
        <w:tc>
          <w:tcPr>
            <w:tcW w:w="1860" w:type="dxa"/>
          </w:tcPr>
          <w:p w14:paraId="1771E6E5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31%</w:t>
            </w:r>
          </w:p>
        </w:tc>
        <w:tc>
          <w:tcPr>
            <w:tcW w:w="1860" w:type="dxa"/>
          </w:tcPr>
          <w:p w14:paraId="199AB628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0.25</w:t>
            </w:r>
          </w:p>
        </w:tc>
      </w:tr>
      <w:tr w14:paraId="25029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859" w:type="dxa"/>
          </w:tcPr>
          <w:p w14:paraId="69BB41D0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梳状谱干扰</w:t>
            </w:r>
          </w:p>
        </w:tc>
        <w:tc>
          <w:tcPr>
            <w:tcW w:w="1859" w:type="dxa"/>
          </w:tcPr>
          <w:p w14:paraId="2C996749"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梳状谱干扰</w:t>
            </w:r>
          </w:p>
        </w:tc>
        <w:tc>
          <w:tcPr>
            <w:tcW w:w="1859" w:type="dxa"/>
          </w:tcPr>
          <w:p w14:paraId="7AF17E29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66%</w:t>
            </w:r>
          </w:p>
        </w:tc>
        <w:tc>
          <w:tcPr>
            <w:tcW w:w="1860" w:type="dxa"/>
          </w:tcPr>
          <w:p w14:paraId="642B5264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30%</w:t>
            </w:r>
          </w:p>
        </w:tc>
        <w:tc>
          <w:tcPr>
            <w:tcW w:w="1860" w:type="dxa"/>
          </w:tcPr>
          <w:p w14:paraId="085DCE9B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2.7</w:t>
            </w:r>
          </w:p>
        </w:tc>
      </w:tr>
      <w:tr w14:paraId="229A1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1859" w:type="dxa"/>
          </w:tcPr>
          <w:p w14:paraId="238D98EC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白噪声干扰</w:t>
            </w:r>
          </w:p>
        </w:tc>
        <w:tc>
          <w:tcPr>
            <w:tcW w:w="1859" w:type="dxa"/>
          </w:tcPr>
          <w:p w14:paraId="45D2397B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白噪声干扰</w:t>
            </w:r>
          </w:p>
        </w:tc>
        <w:tc>
          <w:tcPr>
            <w:tcW w:w="1859" w:type="dxa"/>
          </w:tcPr>
          <w:p w14:paraId="705AC483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62%</w:t>
            </w:r>
          </w:p>
        </w:tc>
        <w:tc>
          <w:tcPr>
            <w:tcW w:w="1860" w:type="dxa"/>
          </w:tcPr>
          <w:p w14:paraId="57C4757B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28%</w:t>
            </w:r>
          </w:p>
        </w:tc>
        <w:tc>
          <w:tcPr>
            <w:tcW w:w="1860" w:type="dxa"/>
          </w:tcPr>
          <w:p w14:paraId="1277B038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10</w:t>
            </w:r>
          </w:p>
        </w:tc>
      </w:tr>
      <w:tr w14:paraId="30AF0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859" w:type="dxa"/>
          </w:tcPr>
          <w:p w14:paraId="40AEA99D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噪声调频干扰</w:t>
            </w:r>
          </w:p>
        </w:tc>
        <w:tc>
          <w:tcPr>
            <w:tcW w:w="1859" w:type="dxa"/>
          </w:tcPr>
          <w:p w14:paraId="1FDCBBA1">
            <w:pPr>
              <w:jc w:val="center"/>
              <w:rPr>
                <w:b/>
                <w:bCs/>
                <w:vertAlign w:val="baseline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噪声调频干扰</w:t>
            </w:r>
          </w:p>
        </w:tc>
        <w:tc>
          <w:tcPr>
            <w:tcW w:w="1859" w:type="dxa"/>
          </w:tcPr>
          <w:p w14:paraId="6986FCCB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56%</w:t>
            </w:r>
          </w:p>
        </w:tc>
        <w:tc>
          <w:tcPr>
            <w:tcW w:w="1860" w:type="dxa"/>
          </w:tcPr>
          <w:p w14:paraId="5E3731B0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27%</w:t>
            </w:r>
          </w:p>
        </w:tc>
        <w:tc>
          <w:tcPr>
            <w:tcW w:w="1860" w:type="dxa"/>
          </w:tcPr>
          <w:p w14:paraId="4B8CC496">
            <w:pPr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0.5</w:t>
            </w:r>
          </w:p>
        </w:tc>
      </w:tr>
    </w:tbl>
    <w:p w14:paraId="3552666D"/>
    <w:p w14:paraId="55BFFDD4">
      <w:pPr>
        <w:spacing w:before="200" w:after="120" w:line="360" w:lineRule="auto"/>
      </w:pPr>
      <w:r>
        <w:rPr>
          <w:rFonts w:ascii="Calibri" w:hAnsi="Calibri" w:eastAsia="宋体" w:cs="Calibri"/>
          <w:b/>
          <w:sz w:val="30"/>
          <w:szCs w:val="30"/>
        </w:rPr>
        <w:t>六、结论</w:t>
      </w:r>
    </w:p>
    <w:p w14:paraId="28E0CE8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综合当前系统联调结果，本系统已完成既定功能目标，具备以下能力：</w:t>
      </w:r>
    </w:p>
    <w:p w14:paraId="77C0041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1. 真实采集信号干扰识别</w:t>
      </w:r>
    </w:p>
    <w:p w14:paraId="11B59094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2. 干扰还原处理</w:t>
      </w:r>
    </w:p>
    <w:p w14:paraId="78F6C475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3. ISR、EVM 等质量指标输出</w:t>
      </w:r>
    </w:p>
    <w:p w14:paraId="7AD28386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4. 图形化结果展示</w:t>
      </w:r>
    </w:p>
    <w:p w14:paraId="40C3342E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5. 板端本地运行与现场演示</w:t>
      </w:r>
    </w:p>
    <w:p w14:paraId="2D7204FE"/>
    <w:p w14:paraId="5C5CA32D">
      <w:pPr>
        <w:spacing w:before="0" w:after="100" w:line="420" w:lineRule="auto"/>
      </w:pPr>
      <w:r>
        <w:rPr>
          <w:rFonts w:ascii="Calibri" w:hAnsi="Calibri" w:eastAsia="宋体" w:cs="Calibri"/>
          <w:sz w:val="28"/>
          <w:szCs w:val="28"/>
        </w:rPr>
        <w:t>其中，干扰识别正确率在当前验收测试记录中达到 100%。对于各类干扰还原效果，系统已具备完整指标输出能力，可在正式验收过程中按照界面实时结果补充 ISR 与 EVM 实测数值。</w:t>
      </w:r>
    </w:p>
    <w:p w14:paraId="368B80EE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24D75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912</Words>
  <Characters>1229</Characters>
  <TotalTime>1</TotalTime>
  <ScaleCrop>false</ScaleCrop>
  <LinksUpToDate>false</LinksUpToDate>
  <CharactersWithSpaces>1287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2026-03-21T04:45:52Z</dcterms:created>
  <dc:creator>20217</dc:creator>
  <cp:lastModifiedBy>何俊榆</cp:lastModifiedBy>
  <dcterms:modified xsi:type="dcterms:W3CDTF">2026-03-21T04:58:06Z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eyJoZGlkIjoiM2YwNDU1MWM4ZTdlYTZiYjhlOTRiZTBlN2FjZTA2ZWQiLCJ1c2VySWQiOiIxNzI0NDI0MDYzIn0=</vt:lpwstr>
  </property>
  <property fmtid="{D5CDD505-2E9C-101B-9397-08002B2CF9AE}" pid="3" name="KSOProductBuildVer">
    <vt:lpwstr>2052-12.1.0.25225</vt:lpwstr>
  </property>
  <property fmtid="{D5CDD505-2E9C-101B-9397-08002B2CF9AE}" pid="4" name="ICV">
    <vt:lpwstr>CC4A43A4525F455A9364BF82F4AFBBA3_12</vt:lpwstr>
  </property>
</Properties>
</file>