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46581A">
      <w:pPr>
        <w:jc w:val="center"/>
      </w:pPr>
      <w:r>
        <w:rPr>
          <w:rFonts w:ascii="Calibri" w:hAnsi="Calibri" w:eastAsia="微软雅黑"/>
          <w:b/>
          <w:color w:val="0B2545"/>
          <w:sz w:val="40"/>
        </w:rPr>
        <w:t>JamSystem 双板干扰识别系统性能耗时说明</w:t>
      </w:r>
    </w:p>
    <w:p w14:paraId="0385EA0A">
      <w:pPr>
        <w:pStyle w:val="3"/>
      </w:pPr>
    </w:p>
    <w:p w14:paraId="13F0DDC2">
      <w:pPr>
        <w:pStyle w:val="3"/>
        <w:rPr>
          <w:rFonts w:hint="eastAsia" w:eastAsia="宋体"/>
          <w:lang w:eastAsia="zh-CN"/>
        </w:rPr>
      </w:pPr>
      <w:r>
        <w:t>1. 测试</w:t>
      </w:r>
      <w:r>
        <w:rPr>
          <w:rFonts w:hint="eastAsia" w:eastAsia="宋体"/>
          <w:lang w:val="en-US" w:eastAsia="zh-CN"/>
        </w:rPr>
        <w:t>目的</w:t>
      </w:r>
    </w:p>
    <w:p w14:paraId="7BD6CCA6">
      <w:pPr>
        <w:rPr>
          <w:rFonts w:ascii="Calibri" w:hAnsi="Calibri" w:eastAsia="微软雅黑"/>
          <w:sz w:val="22"/>
        </w:rPr>
      </w:pPr>
      <w:r>
        <w:rPr>
          <w:rFonts w:ascii="Calibri" w:hAnsi="Calibri" w:eastAsia="微软雅黑"/>
          <w:sz w:val="22"/>
        </w:rPr>
        <w:t>本文用于说明双板干扰识别系统在 fast_rx_rknn 模式下的端到端处理流程、各阶段平均耗时、主要耗时来源以及验收展示时的说明口径。</w:t>
      </w:r>
    </w:p>
    <w:p w14:paraId="3C400DCD">
      <w:pPr>
        <w:rPr>
          <w:rFonts w:ascii="Calibri" w:hAnsi="Calibri" w:eastAsia="微软雅黑"/>
          <w:sz w:val="22"/>
        </w:rPr>
      </w:pPr>
    </w:p>
    <w:p w14:paraId="2ED4264A">
      <w:pPr>
        <w:pStyle w:val="3"/>
        <w:rPr>
          <w:rFonts w:hint="default" w:eastAsia="宋体"/>
          <w:lang w:val="en-US" w:eastAsia="zh-CN"/>
        </w:rPr>
      </w:pPr>
      <w:r>
        <w:t>2.</w:t>
      </w:r>
      <w:r>
        <w:rPr>
          <w:rFonts w:hint="eastAsia" w:eastAsia="宋体"/>
          <w:lang w:val="en-US" w:eastAsia="zh-CN"/>
        </w:rPr>
        <w:t>当前测试配置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4"/>
        <w:gridCol w:w="6406"/>
      </w:tblGrid>
      <w:tr w14:paraId="07B4D9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680" w:type="dxa"/>
            <w:shd w:val="clear" w:color="auto" w:fill="1F4D78"/>
            <w:vAlign w:val="center"/>
          </w:tcPr>
          <w:p w14:paraId="14C8C28B"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项目</w:t>
            </w:r>
          </w:p>
        </w:tc>
        <w:tc>
          <w:tcPr>
            <w:tcW w:w="4680" w:type="dxa"/>
            <w:shd w:val="clear" w:color="auto" w:fill="1F4D78"/>
            <w:vAlign w:val="center"/>
          </w:tcPr>
          <w:p w14:paraId="435CB412"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配置</w:t>
            </w:r>
          </w:p>
        </w:tc>
      </w:tr>
      <w:tr w14:paraId="71163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  <w:vAlign w:val="center"/>
          </w:tcPr>
          <w:p w14:paraId="10BB16FA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接收端角色</w:t>
            </w:r>
          </w:p>
        </w:tc>
        <w:tc>
          <w:tcPr>
            <w:tcW w:w="6406" w:type="dxa"/>
            <w:vAlign w:val="center"/>
          </w:tcPr>
          <w:p w14:paraId="28691383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双板接收，仅接收AD9361数据，本机TX关闭</w:t>
            </w:r>
          </w:p>
        </w:tc>
      </w:tr>
      <w:tr w14:paraId="53E113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  <w:vAlign w:val="center"/>
          </w:tcPr>
          <w:p w14:paraId="6AAF0C05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AD9361地址</w:t>
            </w:r>
          </w:p>
        </w:tc>
        <w:tc>
          <w:tcPr>
            <w:tcW w:w="6406" w:type="dxa"/>
            <w:vAlign w:val="center"/>
          </w:tcPr>
          <w:p w14:paraId="1ADFFBD0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ip:192.168.1.10</w:t>
            </w:r>
          </w:p>
        </w:tc>
      </w:tr>
      <w:tr w14:paraId="499D3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  <w:vAlign w:val="center"/>
          </w:tcPr>
          <w:p w14:paraId="0FA513C3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射频中心频率</w:t>
            </w:r>
          </w:p>
        </w:tc>
        <w:tc>
          <w:tcPr>
            <w:tcW w:w="6406" w:type="dxa"/>
            <w:vAlign w:val="center"/>
          </w:tcPr>
          <w:p w14:paraId="76C5CC5A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200 MHz</w:t>
            </w:r>
          </w:p>
        </w:tc>
      </w:tr>
      <w:tr w14:paraId="6D09B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  <w:vAlign w:val="center"/>
          </w:tcPr>
          <w:p w14:paraId="3BEF6A43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接收增益</w:t>
            </w:r>
          </w:p>
        </w:tc>
        <w:tc>
          <w:tcPr>
            <w:tcW w:w="6406" w:type="dxa"/>
            <w:vAlign w:val="center"/>
          </w:tcPr>
          <w:p w14:paraId="79DE89E9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RX_GAIN = 45 dB</w:t>
            </w:r>
          </w:p>
        </w:tc>
      </w:tr>
      <w:tr w14:paraId="6BD19F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  <w:vAlign w:val="center"/>
          </w:tcPr>
          <w:p w14:paraId="74B512CC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快速后端</w:t>
            </w:r>
          </w:p>
        </w:tc>
        <w:tc>
          <w:tcPr>
            <w:tcW w:w="6406" w:type="dxa"/>
            <w:vAlign w:val="center"/>
          </w:tcPr>
          <w:p w14:paraId="73992429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fast_rx_rknn，C++内存直推RKNN</w:t>
            </w:r>
          </w:p>
        </w:tc>
      </w:tr>
      <w:tr w14:paraId="5CB73B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  <w:vAlign w:val="center"/>
          </w:tcPr>
          <w:p w14:paraId="630A05D4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STFT步长</w:t>
            </w:r>
          </w:p>
        </w:tc>
        <w:tc>
          <w:tcPr>
            <w:tcW w:w="6406" w:type="dxa"/>
            <w:vAlign w:val="center"/>
          </w:tcPr>
          <w:p w14:paraId="118481B5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JAMSYSTEM_FAST_STFT_STRIDE = 2</w:t>
            </w:r>
          </w:p>
        </w:tc>
      </w:tr>
      <w:tr w14:paraId="563ED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  <w:vAlign w:val="center"/>
          </w:tcPr>
          <w:p w14:paraId="5BA4AE8B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单频/窄带硬修正规则</w:t>
            </w:r>
          </w:p>
        </w:tc>
        <w:tc>
          <w:tcPr>
            <w:tcW w:w="6406" w:type="dxa"/>
            <w:vAlign w:val="center"/>
          </w:tcPr>
          <w:p w14:paraId="7F8F5F7A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关闭，JAMSYSTEM_FAST_REFINE_NARROWBAND = 0</w:t>
            </w:r>
          </w:p>
        </w:tc>
      </w:tr>
      <w:tr w14:paraId="58EA2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  <w:vAlign w:val="center"/>
          </w:tcPr>
          <w:p w14:paraId="08CF7622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发射端切换周期</w:t>
            </w:r>
          </w:p>
        </w:tc>
        <w:tc>
          <w:tcPr>
            <w:tcW w:w="6406" w:type="dxa"/>
            <w:vAlign w:val="center"/>
          </w:tcPr>
          <w:p w14:paraId="420B9A61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默认25 ms，循环切换用于速度展示</w:t>
            </w:r>
          </w:p>
        </w:tc>
      </w:tr>
    </w:tbl>
    <w:p w14:paraId="5C5740B1">
      <w:pPr>
        <w:jc w:val="center"/>
      </w:pPr>
    </w:p>
    <w:p w14:paraId="2AE4144D">
      <w:pPr>
        <w:pStyle w:val="3"/>
        <w:rPr>
          <w:rFonts w:hint="default" w:eastAsia="宋体"/>
          <w:lang w:val="en-US" w:eastAsia="zh-CN"/>
        </w:rPr>
      </w:pPr>
      <w:r>
        <w:t xml:space="preserve">3. </w:t>
      </w:r>
      <w:r>
        <w:rPr>
          <w:rFonts w:hint="eastAsia" w:eastAsia="宋体"/>
          <w:lang w:val="en-US" w:eastAsia="zh-CN"/>
        </w:rPr>
        <w:t>处理流程图</w:t>
      </w:r>
    </w:p>
    <w:p w14:paraId="71FAA290"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934075" cy="3256280"/>
            <wp:effectExtent l="0" t="0" r="9525" b="5080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2562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0740DA2">
      <w:pPr>
        <w:pStyle w:val="3"/>
      </w:pPr>
    </w:p>
    <w:p w14:paraId="1E7DD494">
      <w:pPr>
        <w:pStyle w:val="3"/>
        <w:rPr>
          <w:rFonts w:hint="default" w:eastAsia="宋体"/>
          <w:lang w:val="en-US" w:eastAsia="zh-CN"/>
        </w:rPr>
      </w:pPr>
      <w:r>
        <w:t xml:space="preserve">4. </w:t>
      </w:r>
      <w:r>
        <w:rPr>
          <w:rFonts w:hint="eastAsia" w:eastAsia="宋体"/>
          <w:lang w:val="en-US" w:eastAsia="zh-CN"/>
        </w:rPr>
        <w:t>分阶段耗时结果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134"/>
        <w:gridCol w:w="1134"/>
        <w:gridCol w:w="1134"/>
        <w:gridCol w:w="3912"/>
      </w:tblGrid>
      <w:tr w14:paraId="293D50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1F4D78"/>
            <w:vAlign w:val="center"/>
          </w:tcPr>
          <w:p w14:paraId="54D4576A">
            <w:pPr>
              <w:jc w:val="center"/>
              <w:rPr>
                <w:rFonts w:ascii="Calibri" w:hAnsi="Calibri" w:eastAsia="微软雅黑"/>
                <w:b w:val="0"/>
                <w:sz w:val="19"/>
              </w:rPr>
            </w:pPr>
            <w:r>
              <w:rPr>
                <w:rFonts w:ascii="Calibri" w:hAnsi="Calibri" w:eastAsia="微软雅黑"/>
                <w:b w:val="0"/>
                <w:sz w:val="19"/>
              </w:rPr>
              <w:t>阶段</w:t>
            </w:r>
          </w:p>
        </w:tc>
        <w:tc>
          <w:tcPr>
            <w:tcW w:w="1872" w:type="dxa"/>
            <w:shd w:val="clear" w:color="auto" w:fill="1F4D78"/>
            <w:vAlign w:val="center"/>
          </w:tcPr>
          <w:p w14:paraId="08AA7A40">
            <w:pPr>
              <w:jc w:val="center"/>
              <w:rPr>
                <w:rFonts w:ascii="Calibri" w:hAnsi="Calibri" w:eastAsia="微软雅黑"/>
                <w:b w:val="0"/>
                <w:sz w:val="19"/>
              </w:rPr>
            </w:pPr>
            <w:r>
              <w:rPr>
                <w:rFonts w:ascii="Calibri" w:hAnsi="Calibri" w:eastAsia="微软雅黑"/>
                <w:b w:val="0"/>
                <w:sz w:val="19"/>
              </w:rPr>
              <w:t>平均/ms</w:t>
            </w:r>
          </w:p>
        </w:tc>
        <w:tc>
          <w:tcPr>
            <w:tcW w:w="1872" w:type="dxa"/>
            <w:shd w:val="clear" w:color="auto" w:fill="1F4D78"/>
            <w:vAlign w:val="center"/>
          </w:tcPr>
          <w:p w14:paraId="4696082C">
            <w:pPr>
              <w:jc w:val="center"/>
              <w:rPr>
                <w:rFonts w:ascii="Calibri" w:hAnsi="Calibri" w:eastAsia="微软雅黑"/>
                <w:b w:val="0"/>
                <w:sz w:val="19"/>
              </w:rPr>
            </w:pPr>
            <w:r>
              <w:rPr>
                <w:rFonts w:ascii="Calibri" w:hAnsi="Calibri" w:eastAsia="微软雅黑"/>
                <w:b w:val="0"/>
                <w:sz w:val="19"/>
              </w:rPr>
              <w:t>最小/ms</w:t>
            </w:r>
          </w:p>
        </w:tc>
        <w:tc>
          <w:tcPr>
            <w:tcW w:w="1872" w:type="dxa"/>
            <w:shd w:val="clear" w:color="auto" w:fill="1F4D78"/>
            <w:vAlign w:val="center"/>
          </w:tcPr>
          <w:p w14:paraId="3DDD2557">
            <w:pPr>
              <w:jc w:val="center"/>
              <w:rPr>
                <w:rFonts w:ascii="Calibri" w:hAnsi="Calibri" w:eastAsia="微软雅黑"/>
                <w:b w:val="0"/>
                <w:sz w:val="19"/>
              </w:rPr>
            </w:pPr>
            <w:r>
              <w:rPr>
                <w:rFonts w:ascii="Calibri" w:hAnsi="Calibri" w:eastAsia="微软雅黑"/>
                <w:b w:val="0"/>
                <w:sz w:val="19"/>
              </w:rPr>
              <w:t>最大/ms</w:t>
            </w:r>
          </w:p>
        </w:tc>
        <w:tc>
          <w:tcPr>
            <w:tcW w:w="1872" w:type="dxa"/>
            <w:shd w:val="clear" w:color="auto" w:fill="1F4D78"/>
            <w:vAlign w:val="center"/>
          </w:tcPr>
          <w:p w14:paraId="1F9C3F23">
            <w:pPr>
              <w:jc w:val="center"/>
              <w:rPr>
                <w:rFonts w:ascii="Calibri" w:hAnsi="Calibri" w:eastAsia="微软雅黑"/>
                <w:b w:val="0"/>
                <w:sz w:val="19"/>
              </w:rPr>
            </w:pPr>
            <w:r>
              <w:rPr>
                <w:rFonts w:ascii="Calibri" w:hAnsi="Calibri" w:eastAsia="微软雅黑"/>
                <w:b w:val="0"/>
                <w:sz w:val="19"/>
              </w:rPr>
              <w:t>说明</w:t>
            </w:r>
          </w:p>
        </w:tc>
      </w:tr>
      <w:tr w14:paraId="286D51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26AE88E2">
            <w:pPr>
              <w:jc w:val="center"/>
              <w:rPr>
                <w:rFonts w:ascii="Calibri" w:hAnsi="Calibri" w:eastAsia="微软雅黑"/>
                <w:b w:val="0"/>
                <w:sz w:val="19"/>
              </w:rPr>
            </w:pPr>
            <w:r>
              <w:rPr>
                <w:rFonts w:ascii="Calibri" w:hAnsi="Calibri" w:eastAsia="微软雅黑"/>
                <w:b w:val="0"/>
                <w:sz w:val="19"/>
              </w:rPr>
              <w:t>等待新帧</w:t>
            </w:r>
          </w:p>
        </w:tc>
        <w:tc>
          <w:tcPr>
            <w:tcW w:w="1134" w:type="dxa"/>
            <w:vAlign w:val="center"/>
          </w:tcPr>
          <w:p w14:paraId="709F0AD6">
            <w:pPr>
              <w:jc w:val="center"/>
              <w:rPr>
                <w:rFonts w:ascii="Calibri" w:hAnsi="Calibri" w:eastAsia="微软雅黑"/>
                <w:b w:val="0"/>
                <w:sz w:val="19"/>
              </w:rPr>
            </w:pPr>
            <w:r>
              <w:rPr>
                <w:rFonts w:hint="eastAsia" w:ascii="Calibri" w:hAnsi="Calibri" w:eastAsia="微软雅黑"/>
                <w:b w:val="0"/>
                <w:sz w:val="19"/>
              </w:rPr>
              <w:t xml:space="preserve">0.290 </w:t>
            </w:r>
          </w:p>
        </w:tc>
        <w:tc>
          <w:tcPr>
            <w:tcW w:w="1134" w:type="dxa"/>
            <w:vAlign w:val="center"/>
          </w:tcPr>
          <w:p w14:paraId="32DCAFB7">
            <w:pPr>
              <w:jc w:val="center"/>
              <w:rPr>
                <w:rFonts w:ascii="Calibri" w:hAnsi="Calibri" w:eastAsia="微软雅黑"/>
                <w:b w:val="0"/>
                <w:sz w:val="19"/>
              </w:rPr>
            </w:pPr>
            <w:r>
              <w:rPr>
                <w:rFonts w:hint="eastAsia" w:ascii="Calibri" w:hAnsi="Calibri" w:eastAsia="微软雅黑"/>
                <w:b w:val="0"/>
                <w:sz w:val="19"/>
              </w:rPr>
              <w:t>0.013</w:t>
            </w:r>
          </w:p>
        </w:tc>
        <w:tc>
          <w:tcPr>
            <w:tcW w:w="1134" w:type="dxa"/>
            <w:vAlign w:val="center"/>
          </w:tcPr>
          <w:p w14:paraId="5E080DEE">
            <w:pPr>
              <w:jc w:val="center"/>
              <w:rPr>
                <w:rFonts w:ascii="Calibri" w:hAnsi="Calibri" w:eastAsia="微软雅黑"/>
                <w:b w:val="0"/>
                <w:sz w:val="19"/>
              </w:rPr>
            </w:pPr>
            <w:r>
              <w:rPr>
                <w:rFonts w:ascii="Calibri" w:hAnsi="Calibri" w:eastAsia="微软雅黑"/>
                <w:b w:val="0"/>
                <w:sz w:val="19"/>
              </w:rPr>
              <w:t>3.808</w:t>
            </w:r>
          </w:p>
        </w:tc>
        <w:tc>
          <w:tcPr>
            <w:tcW w:w="3912" w:type="dxa"/>
            <w:vAlign w:val="center"/>
          </w:tcPr>
          <w:p w14:paraId="44256650">
            <w:pPr>
              <w:jc w:val="center"/>
              <w:rPr>
                <w:rFonts w:ascii="Calibri" w:hAnsi="Calibri" w:eastAsia="微软雅黑"/>
                <w:b w:val="0"/>
                <w:sz w:val="19"/>
              </w:rPr>
            </w:pPr>
            <w:r>
              <w:rPr>
                <w:rFonts w:ascii="Calibri" w:hAnsi="Calibri" w:eastAsia="微软雅黑"/>
                <w:b w:val="0"/>
                <w:sz w:val="19"/>
              </w:rPr>
              <w:t>采集线程已提前准备最新帧，主识别循环几乎不等待。</w:t>
            </w:r>
          </w:p>
        </w:tc>
      </w:tr>
      <w:tr w14:paraId="39F07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464A1764">
            <w:pPr>
              <w:jc w:val="center"/>
              <w:rPr>
                <w:rFonts w:ascii="Calibri" w:hAnsi="Calibri" w:eastAsia="微软雅黑"/>
                <w:b w:val="0"/>
                <w:sz w:val="19"/>
              </w:rPr>
            </w:pPr>
            <w:r>
              <w:rPr>
                <w:rFonts w:ascii="Calibri" w:hAnsi="Calibri" w:eastAsia="微软雅黑"/>
                <w:b w:val="0"/>
                <w:sz w:val="19"/>
              </w:rPr>
              <w:t>功率/门限判断</w:t>
            </w:r>
          </w:p>
        </w:tc>
        <w:tc>
          <w:tcPr>
            <w:tcW w:w="1134" w:type="dxa"/>
            <w:vAlign w:val="center"/>
          </w:tcPr>
          <w:p w14:paraId="1B15371F">
            <w:pPr>
              <w:jc w:val="center"/>
              <w:rPr>
                <w:rFonts w:ascii="Calibri" w:hAnsi="Calibri" w:eastAsia="微软雅黑"/>
                <w:b w:val="0"/>
                <w:sz w:val="19"/>
              </w:rPr>
            </w:pPr>
            <w:r>
              <w:rPr>
                <w:rFonts w:hint="eastAsia" w:ascii="Calibri" w:hAnsi="Calibri" w:eastAsia="微软雅黑"/>
                <w:b w:val="0"/>
                <w:sz w:val="19"/>
              </w:rPr>
              <w:t xml:space="preserve">1.379 </w:t>
            </w:r>
          </w:p>
        </w:tc>
        <w:tc>
          <w:tcPr>
            <w:tcW w:w="1134" w:type="dxa"/>
            <w:vAlign w:val="center"/>
          </w:tcPr>
          <w:p w14:paraId="5F55DD96">
            <w:pPr>
              <w:jc w:val="center"/>
              <w:rPr>
                <w:rFonts w:ascii="Calibri" w:hAnsi="Calibri" w:eastAsia="微软雅黑"/>
                <w:b w:val="0"/>
                <w:sz w:val="19"/>
              </w:rPr>
            </w:pPr>
            <w:r>
              <w:rPr>
                <w:rFonts w:ascii="Calibri" w:hAnsi="Calibri" w:eastAsia="微软雅黑"/>
                <w:b w:val="0"/>
                <w:sz w:val="19"/>
              </w:rPr>
              <w:t>0.186</w:t>
            </w:r>
          </w:p>
        </w:tc>
        <w:tc>
          <w:tcPr>
            <w:tcW w:w="1134" w:type="dxa"/>
            <w:vAlign w:val="center"/>
          </w:tcPr>
          <w:p w14:paraId="5601B9B4">
            <w:pPr>
              <w:jc w:val="center"/>
              <w:rPr>
                <w:rFonts w:ascii="Calibri" w:hAnsi="Calibri" w:eastAsia="微软雅黑"/>
                <w:b w:val="0"/>
                <w:sz w:val="19"/>
              </w:rPr>
            </w:pPr>
            <w:r>
              <w:rPr>
                <w:rFonts w:hint="eastAsia" w:ascii="Calibri" w:hAnsi="Calibri" w:eastAsia="微软雅黑"/>
                <w:b w:val="0"/>
                <w:sz w:val="19"/>
              </w:rPr>
              <w:t>4.803</w:t>
            </w:r>
          </w:p>
        </w:tc>
        <w:tc>
          <w:tcPr>
            <w:tcW w:w="3912" w:type="dxa"/>
            <w:vAlign w:val="center"/>
          </w:tcPr>
          <w:p w14:paraId="7455C097">
            <w:pPr>
              <w:jc w:val="center"/>
              <w:rPr>
                <w:rFonts w:ascii="Calibri" w:hAnsi="Calibri" w:eastAsia="微软雅黑"/>
                <w:b w:val="0"/>
                <w:sz w:val="19"/>
              </w:rPr>
            </w:pPr>
            <w:r>
              <w:rPr>
                <w:rFonts w:ascii="Calibri" w:hAnsi="Calibri" w:eastAsia="微软雅黑"/>
                <w:b w:val="0"/>
                <w:sz w:val="19"/>
              </w:rPr>
              <w:t>计算接收功率并执行无信号门限判断。</w:t>
            </w:r>
          </w:p>
        </w:tc>
      </w:tr>
      <w:tr w14:paraId="0CC10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E8EEF5"/>
            <w:vAlign w:val="center"/>
          </w:tcPr>
          <w:p w14:paraId="49D04553">
            <w:pPr>
              <w:jc w:val="center"/>
              <w:rPr>
                <w:rFonts w:ascii="Calibri" w:hAnsi="Calibri" w:eastAsia="微软雅黑"/>
                <w:b w:val="0"/>
                <w:sz w:val="19"/>
              </w:rPr>
            </w:pPr>
            <w:r>
              <w:rPr>
                <w:rFonts w:ascii="Calibri" w:hAnsi="Calibri" w:eastAsia="微软雅黑"/>
                <w:b w:val="0"/>
                <w:sz w:val="19"/>
              </w:rPr>
              <w:t>STFT预处理</w:t>
            </w:r>
          </w:p>
        </w:tc>
        <w:tc>
          <w:tcPr>
            <w:tcW w:w="1134" w:type="dxa"/>
            <w:shd w:val="clear" w:color="auto" w:fill="E8EEF5"/>
            <w:vAlign w:val="center"/>
          </w:tcPr>
          <w:p w14:paraId="50E18377">
            <w:pPr>
              <w:jc w:val="center"/>
              <w:rPr>
                <w:rFonts w:ascii="Calibri" w:hAnsi="Calibri" w:eastAsia="微软雅黑"/>
                <w:b w:val="0"/>
                <w:sz w:val="19"/>
              </w:rPr>
            </w:pPr>
            <w:r>
              <w:rPr>
                <w:rFonts w:hint="eastAsia" w:ascii="Calibri" w:hAnsi="Calibri" w:eastAsia="微软雅黑"/>
                <w:b w:val="0"/>
                <w:sz w:val="19"/>
              </w:rPr>
              <w:t>10.337</w:t>
            </w:r>
          </w:p>
        </w:tc>
        <w:tc>
          <w:tcPr>
            <w:tcW w:w="1134" w:type="dxa"/>
            <w:shd w:val="clear" w:color="auto" w:fill="E8EEF5"/>
            <w:vAlign w:val="center"/>
          </w:tcPr>
          <w:p w14:paraId="368C1AB4">
            <w:pPr>
              <w:jc w:val="center"/>
              <w:rPr>
                <w:rFonts w:ascii="Calibri" w:hAnsi="Calibri" w:eastAsia="微软雅黑"/>
                <w:b w:val="0"/>
                <w:sz w:val="19"/>
              </w:rPr>
            </w:pPr>
            <w:r>
              <w:rPr>
                <w:rFonts w:hint="eastAsia" w:ascii="Calibri" w:hAnsi="Calibri" w:eastAsia="微软雅黑"/>
                <w:b w:val="0"/>
                <w:sz w:val="19"/>
              </w:rPr>
              <w:t>3.019</w:t>
            </w:r>
          </w:p>
        </w:tc>
        <w:tc>
          <w:tcPr>
            <w:tcW w:w="1134" w:type="dxa"/>
            <w:shd w:val="clear" w:color="auto" w:fill="E8EEF5"/>
            <w:vAlign w:val="center"/>
          </w:tcPr>
          <w:p w14:paraId="046FADB9">
            <w:pPr>
              <w:jc w:val="center"/>
              <w:rPr>
                <w:rFonts w:ascii="Calibri" w:hAnsi="Calibri" w:eastAsia="微软雅黑"/>
                <w:b w:val="0"/>
                <w:sz w:val="19"/>
              </w:rPr>
            </w:pPr>
            <w:r>
              <w:rPr>
                <w:rFonts w:hint="eastAsia" w:ascii="Calibri" w:hAnsi="Calibri" w:eastAsia="微软雅黑"/>
                <w:b w:val="0"/>
                <w:sz w:val="19"/>
              </w:rPr>
              <w:t>20.472</w:t>
            </w:r>
          </w:p>
        </w:tc>
        <w:tc>
          <w:tcPr>
            <w:tcW w:w="3912" w:type="dxa"/>
            <w:shd w:val="clear" w:color="auto" w:fill="E8EEF5"/>
            <w:vAlign w:val="center"/>
          </w:tcPr>
          <w:p w14:paraId="56A18F9B">
            <w:pPr>
              <w:jc w:val="center"/>
              <w:rPr>
                <w:rFonts w:ascii="Calibri" w:hAnsi="Calibri" w:eastAsia="微软雅黑"/>
                <w:b w:val="0"/>
                <w:sz w:val="19"/>
              </w:rPr>
            </w:pPr>
            <w:r>
              <w:rPr>
                <w:rFonts w:ascii="Calibri" w:hAnsi="Calibri" w:eastAsia="微软雅黑"/>
                <w:b w:val="0"/>
                <w:sz w:val="19"/>
              </w:rPr>
              <w:t>将IQ数据转换为模型输入的时频图。</w:t>
            </w:r>
          </w:p>
        </w:tc>
      </w:tr>
      <w:tr w14:paraId="68F6F7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E8EEF5"/>
            <w:vAlign w:val="center"/>
          </w:tcPr>
          <w:p w14:paraId="4FCD33D4">
            <w:pPr>
              <w:jc w:val="center"/>
              <w:rPr>
                <w:rFonts w:ascii="Calibri" w:hAnsi="Calibri" w:eastAsia="微软雅黑"/>
                <w:b w:val="0"/>
                <w:sz w:val="19"/>
              </w:rPr>
            </w:pPr>
            <w:r>
              <w:rPr>
                <w:rFonts w:ascii="Calibri" w:hAnsi="Calibri" w:eastAsia="微软雅黑"/>
                <w:b w:val="0"/>
                <w:sz w:val="19"/>
              </w:rPr>
              <w:t>RKNN推理</w:t>
            </w:r>
          </w:p>
        </w:tc>
        <w:tc>
          <w:tcPr>
            <w:tcW w:w="1134" w:type="dxa"/>
            <w:shd w:val="clear" w:color="auto" w:fill="E8EEF5"/>
            <w:vAlign w:val="center"/>
          </w:tcPr>
          <w:p w14:paraId="152F2209">
            <w:pPr>
              <w:jc w:val="center"/>
              <w:rPr>
                <w:rFonts w:ascii="Calibri" w:hAnsi="Calibri" w:eastAsia="微软雅黑"/>
                <w:b w:val="0"/>
                <w:sz w:val="19"/>
              </w:rPr>
            </w:pPr>
            <w:r>
              <w:rPr>
                <w:rFonts w:hint="eastAsia" w:ascii="Calibri" w:hAnsi="Calibri" w:eastAsia="微软雅黑"/>
                <w:b w:val="0"/>
                <w:sz w:val="19"/>
              </w:rPr>
              <w:t xml:space="preserve">15.354 </w:t>
            </w:r>
          </w:p>
        </w:tc>
        <w:tc>
          <w:tcPr>
            <w:tcW w:w="1134" w:type="dxa"/>
            <w:shd w:val="clear" w:color="auto" w:fill="E8EEF5"/>
            <w:vAlign w:val="center"/>
          </w:tcPr>
          <w:p w14:paraId="5A26DB48">
            <w:pPr>
              <w:jc w:val="center"/>
              <w:rPr>
                <w:rFonts w:ascii="Calibri" w:hAnsi="Calibri" w:eastAsia="微软雅黑"/>
                <w:b w:val="0"/>
                <w:sz w:val="19"/>
              </w:rPr>
            </w:pPr>
            <w:r>
              <w:rPr>
                <w:rFonts w:hint="eastAsia" w:ascii="Calibri" w:hAnsi="Calibri" w:eastAsia="微软雅黑"/>
                <w:b w:val="0"/>
                <w:sz w:val="19"/>
              </w:rPr>
              <w:t xml:space="preserve">7.289 </w:t>
            </w:r>
          </w:p>
        </w:tc>
        <w:tc>
          <w:tcPr>
            <w:tcW w:w="1134" w:type="dxa"/>
            <w:shd w:val="clear" w:color="auto" w:fill="E8EEF5"/>
            <w:vAlign w:val="center"/>
          </w:tcPr>
          <w:p w14:paraId="1FD488EF">
            <w:pPr>
              <w:jc w:val="center"/>
              <w:rPr>
                <w:rFonts w:ascii="Calibri" w:hAnsi="Calibri" w:eastAsia="微软雅黑"/>
                <w:b w:val="0"/>
                <w:sz w:val="19"/>
              </w:rPr>
            </w:pPr>
            <w:r>
              <w:rPr>
                <w:rFonts w:hint="eastAsia" w:ascii="Calibri" w:hAnsi="Calibri" w:eastAsia="微软雅黑"/>
                <w:b w:val="0"/>
                <w:sz w:val="19"/>
              </w:rPr>
              <w:t>22.400</w:t>
            </w:r>
          </w:p>
        </w:tc>
        <w:tc>
          <w:tcPr>
            <w:tcW w:w="3912" w:type="dxa"/>
            <w:shd w:val="clear" w:color="auto" w:fill="E8EEF5"/>
            <w:vAlign w:val="center"/>
          </w:tcPr>
          <w:p w14:paraId="74C70394">
            <w:pPr>
              <w:jc w:val="center"/>
              <w:rPr>
                <w:rFonts w:ascii="Calibri" w:hAnsi="Calibri" w:eastAsia="微软雅黑"/>
                <w:b w:val="0"/>
                <w:sz w:val="19"/>
              </w:rPr>
            </w:pPr>
            <w:r>
              <w:rPr>
                <w:rFonts w:ascii="Calibri" w:hAnsi="Calibri" w:eastAsia="微软雅黑"/>
                <w:b w:val="0"/>
                <w:sz w:val="19"/>
              </w:rPr>
              <w:t>调用RK3588 NPU完成干扰类别推理。</w:t>
            </w:r>
          </w:p>
        </w:tc>
      </w:tr>
      <w:tr w14:paraId="27DA4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39A73882">
            <w:pPr>
              <w:jc w:val="center"/>
              <w:rPr>
                <w:rFonts w:ascii="Calibri" w:hAnsi="Calibri" w:eastAsia="微软雅黑"/>
                <w:b w:val="0"/>
                <w:sz w:val="19"/>
              </w:rPr>
            </w:pPr>
            <w:r>
              <w:rPr>
                <w:rFonts w:ascii="Calibri" w:hAnsi="Calibri" w:eastAsia="微软雅黑"/>
                <w:b w:val="0"/>
                <w:sz w:val="19"/>
              </w:rPr>
              <w:t>后处理</w:t>
            </w:r>
          </w:p>
        </w:tc>
        <w:tc>
          <w:tcPr>
            <w:tcW w:w="1134" w:type="dxa"/>
            <w:vAlign w:val="center"/>
          </w:tcPr>
          <w:p w14:paraId="01E0C61B">
            <w:pPr>
              <w:jc w:val="center"/>
              <w:rPr>
                <w:rFonts w:hint="eastAsia" w:ascii="Calibri" w:hAnsi="Calibri" w:eastAsia="微软雅黑"/>
                <w:b w:val="0"/>
                <w:sz w:val="19"/>
                <w:lang w:val="en-US" w:eastAsia="zh-CN"/>
              </w:rPr>
            </w:pPr>
            <w:r>
              <w:rPr>
                <w:rFonts w:ascii="Calibri" w:hAnsi="Calibri" w:eastAsia="微软雅黑"/>
                <w:b w:val="0"/>
                <w:sz w:val="19"/>
              </w:rPr>
              <w:t>0.00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3</w:t>
            </w:r>
          </w:p>
        </w:tc>
        <w:tc>
          <w:tcPr>
            <w:tcW w:w="1134" w:type="dxa"/>
            <w:vAlign w:val="center"/>
          </w:tcPr>
          <w:p w14:paraId="27088981">
            <w:pPr>
              <w:jc w:val="center"/>
              <w:rPr>
                <w:rFonts w:ascii="Calibri" w:hAnsi="Calibri" w:eastAsia="微软雅黑"/>
                <w:b w:val="0"/>
                <w:sz w:val="19"/>
              </w:rPr>
            </w:pPr>
            <w:r>
              <w:rPr>
                <w:rFonts w:ascii="Calibri" w:hAnsi="Calibri" w:eastAsia="微软雅黑"/>
                <w:b w:val="0"/>
                <w:sz w:val="19"/>
              </w:rPr>
              <w:t>0.001</w:t>
            </w:r>
          </w:p>
        </w:tc>
        <w:tc>
          <w:tcPr>
            <w:tcW w:w="1134" w:type="dxa"/>
            <w:vAlign w:val="center"/>
          </w:tcPr>
          <w:p w14:paraId="0803890E">
            <w:pPr>
              <w:jc w:val="center"/>
              <w:rPr>
                <w:rFonts w:ascii="Calibri" w:hAnsi="Calibri" w:eastAsia="微软雅黑"/>
                <w:b w:val="0"/>
                <w:sz w:val="19"/>
              </w:rPr>
            </w:pPr>
            <w:r>
              <w:rPr>
                <w:rFonts w:ascii="Calibri" w:hAnsi="Calibri" w:eastAsia="微软雅黑"/>
                <w:b w:val="0"/>
                <w:sz w:val="19"/>
              </w:rPr>
              <w:t>0.019</w:t>
            </w:r>
          </w:p>
        </w:tc>
        <w:tc>
          <w:tcPr>
            <w:tcW w:w="3912" w:type="dxa"/>
            <w:vAlign w:val="center"/>
          </w:tcPr>
          <w:p w14:paraId="72B63488">
            <w:pPr>
              <w:jc w:val="center"/>
              <w:rPr>
                <w:rFonts w:ascii="Calibri" w:hAnsi="Calibri" w:eastAsia="微软雅黑"/>
                <w:b w:val="0"/>
                <w:sz w:val="19"/>
              </w:rPr>
            </w:pPr>
            <w:r>
              <w:rPr>
                <w:rFonts w:ascii="Calibri" w:hAnsi="Calibri" w:eastAsia="微软雅黑"/>
                <w:b w:val="0"/>
                <w:sz w:val="19"/>
              </w:rPr>
              <w:t>标签映射、结果输出等轻量处理。</w:t>
            </w:r>
          </w:p>
        </w:tc>
      </w:tr>
      <w:tr w14:paraId="15C03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E8EEF5"/>
            <w:vAlign w:val="center"/>
          </w:tcPr>
          <w:p w14:paraId="7C040709">
            <w:pPr>
              <w:jc w:val="center"/>
              <w:rPr>
                <w:rFonts w:ascii="Calibri" w:hAnsi="Calibri" w:eastAsia="微软雅黑"/>
                <w:b w:val="0"/>
                <w:sz w:val="19"/>
              </w:rPr>
            </w:pPr>
            <w:r>
              <w:rPr>
                <w:rFonts w:ascii="Calibri" w:hAnsi="Calibri" w:eastAsia="微软雅黑"/>
                <w:b w:val="0"/>
                <w:sz w:val="19"/>
              </w:rPr>
              <w:t>处理总耗时</w:t>
            </w:r>
          </w:p>
        </w:tc>
        <w:tc>
          <w:tcPr>
            <w:tcW w:w="1134" w:type="dxa"/>
            <w:shd w:val="clear" w:color="auto" w:fill="E8EEF5"/>
            <w:vAlign w:val="center"/>
          </w:tcPr>
          <w:p w14:paraId="7B5616F5">
            <w:pPr>
              <w:jc w:val="center"/>
              <w:rPr>
                <w:rFonts w:ascii="Calibri" w:hAnsi="Calibri" w:eastAsia="微软雅黑"/>
                <w:b w:val="0"/>
                <w:sz w:val="19"/>
              </w:rPr>
            </w:pPr>
            <w:r>
              <w:rPr>
                <w:rFonts w:hint="eastAsia" w:ascii="Calibri" w:hAnsi="Calibri" w:eastAsia="微软雅黑"/>
                <w:b w:val="0"/>
                <w:sz w:val="19"/>
              </w:rPr>
              <w:t>27.363</w:t>
            </w:r>
          </w:p>
        </w:tc>
        <w:tc>
          <w:tcPr>
            <w:tcW w:w="1134" w:type="dxa"/>
            <w:shd w:val="clear" w:color="auto" w:fill="E8EEF5"/>
            <w:vAlign w:val="center"/>
          </w:tcPr>
          <w:p w14:paraId="1D322D53">
            <w:pPr>
              <w:jc w:val="center"/>
              <w:rPr>
                <w:rFonts w:ascii="Calibri" w:hAnsi="Calibri" w:eastAsia="微软雅黑"/>
                <w:b w:val="0"/>
                <w:sz w:val="19"/>
              </w:rPr>
            </w:pPr>
            <w:r>
              <w:rPr>
                <w:rFonts w:hint="eastAsia" w:ascii="Calibri" w:hAnsi="Calibri" w:eastAsia="微软雅黑"/>
                <w:b w:val="0"/>
                <w:sz w:val="19"/>
              </w:rPr>
              <w:t xml:space="preserve">11.887 </w:t>
            </w:r>
          </w:p>
        </w:tc>
        <w:tc>
          <w:tcPr>
            <w:tcW w:w="1134" w:type="dxa"/>
            <w:shd w:val="clear" w:color="auto" w:fill="E8EEF5"/>
            <w:vAlign w:val="center"/>
          </w:tcPr>
          <w:p w14:paraId="71968BBB">
            <w:pPr>
              <w:jc w:val="center"/>
              <w:rPr>
                <w:rFonts w:hint="default" w:ascii="Calibri" w:hAnsi="Calibri" w:eastAsia="微软雅黑"/>
                <w:b w:val="0"/>
                <w:sz w:val="19"/>
                <w:lang w:val="en-US" w:eastAsia="zh-CN"/>
              </w:rPr>
            </w:pPr>
            <w:r>
              <w:rPr>
                <w:rFonts w:hint="eastAsia"/>
                <w:b w:val="0"/>
                <w:sz w:val="19"/>
                <w:lang w:val="en-US" w:eastAsia="zh-CN"/>
              </w:rPr>
              <w:t>51.502</w:t>
            </w:r>
          </w:p>
        </w:tc>
        <w:tc>
          <w:tcPr>
            <w:tcW w:w="3912" w:type="dxa"/>
            <w:shd w:val="clear" w:color="auto" w:fill="E8EEF5"/>
            <w:vAlign w:val="center"/>
          </w:tcPr>
          <w:p w14:paraId="451D6D29">
            <w:pPr>
              <w:jc w:val="center"/>
              <w:rPr>
                <w:rFonts w:ascii="Calibri" w:hAnsi="Calibri" w:eastAsia="微软雅黑"/>
                <w:b w:val="0"/>
                <w:sz w:val="19"/>
              </w:rPr>
            </w:pPr>
            <w:r>
              <w:rPr>
                <w:rFonts w:ascii="Calibri" w:hAnsi="Calibri" w:eastAsia="微软雅黑"/>
                <w:b w:val="0"/>
                <w:sz w:val="19"/>
              </w:rPr>
              <w:t>从拿到新帧到输出识别结果的处理总时间。</w:t>
            </w:r>
          </w:p>
        </w:tc>
      </w:tr>
    </w:tbl>
    <w:p w14:paraId="30D37FAD"/>
    <w:p w14:paraId="1D938A90">
      <w:pPr>
        <w:pStyle w:val="3"/>
        <w:rPr>
          <w:rFonts w:hint="default" w:eastAsia="宋体"/>
          <w:lang w:val="en-US" w:eastAsia="zh-CN"/>
        </w:rPr>
      </w:pPr>
      <w:r>
        <w:t xml:space="preserve">5. </w:t>
      </w:r>
      <w:r>
        <w:rPr>
          <w:rFonts w:hint="eastAsia" w:eastAsia="宋体"/>
          <w:lang w:val="en-US" w:eastAsia="zh-CN"/>
        </w:rPr>
        <w:t>主要耗时占比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361"/>
        <w:gridCol w:w="1587"/>
        <w:gridCol w:w="4082"/>
      </w:tblGrid>
      <w:tr w14:paraId="7E71E2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  <w:shd w:val="clear" w:color="auto" w:fill="1F4D78"/>
            <w:vAlign w:val="center"/>
          </w:tcPr>
          <w:p w14:paraId="0591DC33"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耗时来源</w:t>
            </w:r>
          </w:p>
        </w:tc>
        <w:tc>
          <w:tcPr>
            <w:tcW w:w="2340" w:type="dxa"/>
            <w:shd w:val="clear" w:color="auto" w:fill="1F4D78"/>
            <w:vAlign w:val="center"/>
          </w:tcPr>
          <w:p w14:paraId="0FBEE673"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平均耗时</w:t>
            </w:r>
          </w:p>
        </w:tc>
        <w:tc>
          <w:tcPr>
            <w:tcW w:w="2340" w:type="dxa"/>
            <w:shd w:val="clear" w:color="auto" w:fill="1F4D78"/>
            <w:vAlign w:val="center"/>
          </w:tcPr>
          <w:p w14:paraId="371315DD"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占处理总耗时</w:t>
            </w:r>
          </w:p>
        </w:tc>
        <w:tc>
          <w:tcPr>
            <w:tcW w:w="2340" w:type="dxa"/>
            <w:shd w:val="clear" w:color="auto" w:fill="1F4D78"/>
            <w:vAlign w:val="center"/>
          </w:tcPr>
          <w:p w14:paraId="51973319"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结论</w:t>
            </w:r>
          </w:p>
        </w:tc>
      </w:tr>
      <w:tr w14:paraId="40E06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8EEF5"/>
            <w:vAlign w:val="center"/>
          </w:tcPr>
          <w:p w14:paraId="3CB8495B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RKNN推理</w:t>
            </w:r>
          </w:p>
        </w:tc>
        <w:tc>
          <w:tcPr>
            <w:tcW w:w="1361" w:type="dxa"/>
            <w:shd w:val="clear" w:color="auto" w:fill="E8EEF5"/>
            <w:vAlign w:val="center"/>
          </w:tcPr>
          <w:p w14:paraId="61238802">
            <w:pPr>
              <w:jc w:val="center"/>
            </w:pPr>
            <w:r>
              <w:rPr>
                <w:rFonts w:hint="eastAsia" w:ascii="Calibri" w:hAnsi="Calibri" w:eastAsia="微软雅黑"/>
                <w:b w:val="0"/>
                <w:sz w:val="19"/>
              </w:rPr>
              <w:t>15.354</w:t>
            </w:r>
            <w:r>
              <w:rPr>
                <w:rFonts w:ascii="Calibri" w:hAnsi="Calibri" w:eastAsia="微软雅黑"/>
                <w:b w:val="0"/>
                <w:sz w:val="19"/>
              </w:rPr>
              <w:t>ms</w:t>
            </w:r>
          </w:p>
        </w:tc>
        <w:tc>
          <w:tcPr>
            <w:tcW w:w="1587" w:type="dxa"/>
            <w:shd w:val="clear" w:color="auto" w:fill="E8EEF5"/>
            <w:vAlign w:val="center"/>
          </w:tcPr>
          <w:p w14:paraId="75C7C4C1">
            <w:pPr>
              <w:jc w:val="center"/>
            </w:pPr>
            <w:r>
              <w:rPr>
                <w:rFonts w:hint="eastAsia"/>
                <w:b w:val="0"/>
                <w:sz w:val="19"/>
                <w:lang w:val="en-US" w:eastAsia="zh-CN"/>
              </w:rPr>
              <w:t>56.12</w:t>
            </w:r>
            <w:r>
              <w:rPr>
                <w:rFonts w:ascii="Calibri" w:hAnsi="Calibri" w:eastAsia="微软雅黑"/>
                <w:b w:val="0"/>
                <w:sz w:val="19"/>
              </w:rPr>
              <w:t>%</w:t>
            </w:r>
          </w:p>
        </w:tc>
        <w:tc>
          <w:tcPr>
            <w:tcW w:w="4082" w:type="dxa"/>
            <w:shd w:val="clear" w:color="auto" w:fill="E8EEF5"/>
            <w:vAlign w:val="center"/>
          </w:tcPr>
          <w:p w14:paraId="1B78CFCF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最大耗时，主要由NPU推理和RKNN运行时开销构成</w:t>
            </w:r>
          </w:p>
        </w:tc>
      </w:tr>
      <w:tr w14:paraId="1A2B6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8EEF5"/>
            <w:vAlign w:val="center"/>
          </w:tcPr>
          <w:p w14:paraId="0AEAF935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STFT预处理</w:t>
            </w:r>
          </w:p>
        </w:tc>
        <w:tc>
          <w:tcPr>
            <w:tcW w:w="1361" w:type="dxa"/>
            <w:shd w:val="clear" w:color="auto" w:fill="E8EEF5"/>
            <w:vAlign w:val="center"/>
          </w:tcPr>
          <w:p w14:paraId="637E73A6">
            <w:pPr>
              <w:jc w:val="center"/>
            </w:pPr>
            <w:r>
              <w:rPr>
                <w:rFonts w:hint="eastAsia" w:ascii="Calibri" w:hAnsi="Calibri" w:eastAsia="微软雅黑"/>
                <w:b w:val="0"/>
                <w:sz w:val="19"/>
              </w:rPr>
              <w:t>10.337</w:t>
            </w:r>
            <w:r>
              <w:rPr>
                <w:rFonts w:ascii="Calibri" w:hAnsi="Calibri" w:eastAsia="微软雅黑"/>
                <w:b w:val="0"/>
                <w:sz w:val="19"/>
              </w:rPr>
              <w:t>ms</w:t>
            </w:r>
          </w:p>
        </w:tc>
        <w:tc>
          <w:tcPr>
            <w:tcW w:w="1587" w:type="dxa"/>
            <w:shd w:val="clear" w:color="auto" w:fill="E8EEF5"/>
            <w:vAlign w:val="center"/>
          </w:tcPr>
          <w:p w14:paraId="39B894B2">
            <w:pPr>
              <w:jc w:val="center"/>
            </w:pPr>
            <w:r>
              <w:rPr>
                <w:rFonts w:hint="eastAsia"/>
                <w:b w:val="0"/>
                <w:sz w:val="19"/>
                <w:lang w:val="en-US" w:eastAsia="zh-CN"/>
              </w:rPr>
              <w:t>37.78</w:t>
            </w:r>
            <w:r>
              <w:rPr>
                <w:rFonts w:ascii="Calibri" w:hAnsi="Calibri" w:eastAsia="微软雅黑"/>
                <w:b w:val="0"/>
                <w:sz w:val="19"/>
              </w:rPr>
              <w:t>%</w:t>
            </w:r>
          </w:p>
        </w:tc>
        <w:tc>
          <w:tcPr>
            <w:tcW w:w="4082" w:type="dxa"/>
            <w:shd w:val="clear" w:color="auto" w:fill="E8EEF5"/>
            <w:vAlign w:val="center"/>
          </w:tcPr>
          <w:p w14:paraId="59DDF549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第二大耗时，将IQ帧转换成模型输入时频图</w:t>
            </w:r>
          </w:p>
        </w:tc>
      </w:tr>
      <w:tr w14:paraId="53AF7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5D00485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功率/门限判断</w:t>
            </w:r>
          </w:p>
        </w:tc>
        <w:tc>
          <w:tcPr>
            <w:tcW w:w="1361" w:type="dxa"/>
            <w:vAlign w:val="center"/>
          </w:tcPr>
          <w:p w14:paraId="2A7FCE46">
            <w:pPr>
              <w:jc w:val="center"/>
            </w:pPr>
            <w:r>
              <w:rPr>
                <w:rFonts w:hint="eastAsia" w:ascii="Calibri" w:hAnsi="Calibri" w:eastAsia="微软雅黑"/>
                <w:b w:val="0"/>
                <w:sz w:val="19"/>
              </w:rPr>
              <w:t>1.379</w:t>
            </w:r>
            <w:r>
              <w:rPr>
                <w:rFonts w:ascii="Calibri" w:hAnsi="Calibri" w:eastAsia="微软雅黑"/>
                <w:b w:val="0"/>
                <w:sz w:val="19"/>
              </w:rPr>
              <w:t>ms</w:t>
            </w:r>
          </w:p>
        </w:tc>
        <w:tc>
          <w:tcPr>
            <w:tcW w:w="1587" w:type="dxa"/>
            <w:vAlign w:val="center"/>
          </w:tcPr>
          <w:p w14:paraId="3D33D654">
            <w:pPr>
              <w:jc w:val="center"/>
            </w:pPr>
            <w:r>
              <w:rPr>
                <w:rFonts w:hint="eastAsia"/>
                <w:b w:val="0"/>
                <w:sz w:val="19"/>
                <w:lang w:val="en-US" w:eastAsia="zh-CN"/>
              </w:rPr>
              <w:t>5.04</w:t>
            </w:r>
            <w:r>
              <w:rPr>
                <w:rFonts w:ascii="Calibri" w:hAnsi="Calibri" w:eastAsia="微软雅黑"/>
                <w:b w:val="0"/>
                <w:sz w:val="19"/>
              </w:rPr>
              <w:t>%</w:t>
            </w:r>
          </w:p>
        </w:tc>
        <w:tc>
          <w:tcPr>
            <w:tcW w:w="4082" w:type="dxa"/>
            <w:vAlign w:val="center"/>
          </w:tcPr>
          <w:p w14:paraId="25CFEACF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开销较小</w:t>
            </w:r>
          </w:p>
        </w:tc>
      </w:tr>
      <w:tr w14:paraId="4A66DE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E2BB642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等待新帧</w:t>
            </w:r>
          </w:p>
        </w:tc>
        <w:tc>
          <w:tcPr>
            <w:tcW w:w="1361" w:type="dxa"/>
            <w:vAlign w:val="center"/>
          </w:tcPr>
          <w:p w14:paraId="68F0D32F">
            <w:pPr>
              <w:jc w:val="center"/>
            </w:pPr>
            <w:r>
              <w:rPr>
                <w:rFonts w:hint="eastAsia" w:ascii="Calibri" w:hAnsi="Calibri" w:eastAsia="微软雅黑"/>
                <w:b w:val="0"/>
                <w:sz w:val="19"/>
              </w:rPr>
              <w:t>0.290</w:t>
            </w:r>
            <w:r>
              <w:rPr>
                <w:rFonts w:ascii="Calibri" w:hAnsi="Calibri" w:eastAsia="微软雅黑"/>
                <w:b w:val="0"/>
                <w:sz w:val="19"/>
              </w:rPr>
              <w:t>ms</w:t>
            </w:r>
          </w:p>
        </w:tc>
        <w:tc>
          <w:tcPr>
            <w:tcW w:w="1587" w:type="dxa"/>
            <w:vAlign w:val="center"/>
          </w:tcPr>
          <w:p w14:paraId="36A97DD1">
            <w:pPr>
              <w:jc w:val="center"/>
            </w:pPr>
            <w:r>
              <w:rPr>
                <w:rFonts w:hint="eastAsia"/>
                <w:b w:val="0"/>
                <w:sz w:val="19"/>
                <w:lang w:val="en-US" w:eastAsia="zh-CN"/>
              </w:rPr>
              <w:t>1.06</w:t>
            </w:r>
            <w:r>
              <w:rPr>
                <w:rFonts w:ascii="Calibri" w:hAnsi="Calibri" w:eastAsia="微软雅黑"/>
                <w:b w:val="0"/>
                <w:sz w:val="19"/>
              </w:rPr>
              <w:t>%</w:t>
            </w:r>
          </w:p>
        </w:tc>
        <w:tc>
          <w:tcPr>
            <w:tcW w:w="4082" w:type="dxa"/>
            <w:vAlign w:val="center"/>
          </w:tcPr>
          <w:p w14:paraId="30146F85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几乎不等待，说明采集线程已提前准备数据</w:t>
            </w:r>
          </w:p>
        </w:tc>
      </w:tr>
      <w:tr w14:paraId="175D13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1595D1B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后处理</w:t>
            </w:r>
          </w:p>
        </w:tc>
        <w:tc>
          <w:tcPr>
            <w:tcW w:w="1361" w:type="dxa"/>
            <w:vAlign w:val="center"/>
          </w:tcPr>
          <w:p w14:paraId="23C9C6E4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0.00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3</w:t>
            </w:r>
            <w:r>
              <w:rPr>
                <w:rFonts w:ascii="Calibri" w:hAnsi="Calibri" w:eastAsia="微软雅黑"/>
                <w:b w:val="0"/>
                <w:sz w:val="19"/>
              </w:rPr>
              <w:t>ms</w:t>
            </w:r>
          </w:p>
        </w:tc>
        <w:tc>
          <w:tcPr>
            <w:tcW w:w="1587" w:type="dxa"/>
            <w:vAlign w:val="center"/>
          </w:tcPr>
          <w:p w14:paraId="7B8C6BB8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0.0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1</w:t>
            </w:r>
            <w:r>
              <w:rPr>
                <w:rFonts w:ascii="Calibri" w:hAnsi="Calibri" w:eastAsia="微软雅黑"/>
                <w:b w:val="0"/>
                <w:sz w:val="19"/>
              </w:rPr>
              <w:t>%</w:t>
            </w:r>
          </w:p>
        </w:tc>
        <w:tc>
          <w:tcPr>
            <w:tcW w:w="4082" w:type="dxa"/>
            <w:vAlign w:val="center"/>
          </w:tcPr>
          <w:p w14:paraId="58E19BD2">
            <w:pPr>
              <w:jc w:val="center"/>
            </w:pPr>
            <w:r>
              <w:rPr>
                <w:rFonts w:ascii="Calibri" w:hAnsi="Calibri" w:eastAsia="微软雅黑"/>
                <w:b w:val="0"/>
                <w:sz w:val="19"/>
              </w:rPr>
              <w:t>可忽略</w:t>
            </w:r>
          </w:p>
        </w:tc>
      </w:tr>
    </w:tbl>
    <w:p w14:paraId="1F620F98"/>
    <w:p w14:paraId="61CA613B"/>
    <w:p w14:paraId="22C264D3">
      <w:pPr>
        <w:pStyle w:val="3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6.各类型干扰耗时统计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4"/>
        <w:gridCol w:w="2394"/>
        <w:gridCol w:w="2394"/>
        <w:gridCol w:w="2394"/>
      </w:tblGrid>
      <w:tr w14:paraId="3DD90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shd w:val="clear" w:color="auto" w:fill="548DD4" w:themeFill="text2" w:themeFillTint="99"/>
            <w:vAlign w:val="top"/>
          </w:tcPr>
          <w:p w14:paraId="32DD69B0">
            <w:pPr>
              <w:jc w:val="center"/>
              <w:rPr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干扰类型</w:t>
            </w:r>
          </w:p>
        </w:tc>
        <w:tc>
          <w:tcPr>
            <w:tcW w:w="2394" w:type="dxa"/>
            <w:shd w:val="clear" w:color="auto" w:fill="548DD4" w:themeFill="text2" w:themeFillTint="99"/>
            <w:vAlign w:val="top"/>
          </w:tcPr>
          <w:p w14:paraId="5C4B5F16">
            <w:pPr>
              <w:jc w:val="center"/>
              <w:rPr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平均识别周期</w:t>
            </w:r>
          </w:p>
        </w:tc>
        <w:tc>
          <w:tcPr>
            <w:tcW w:w="2394" w:type="dxa"/>
            <w:shd w:val="clear" w:color="auto" w:fill="548DD4" w:themeFill="text2" w:themeFillTint="99"/>
            <w:vAlign w:val="top"/>
          </w:tcPr>
          <w:p w14:paraId="51AFDF7A">
            <w:pPr>
              <w:jc w:val="center"/>
              <w:rPr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识别频率</w:t>
            </w:r>
          </w:p>
        </w:tc>
        <w:tc>
          <w:tcPr>
            <w:tcW w:w="2394" w:type="dxa"/>
            <w:shd w:val="clear" w:color="auto" w:fill="548DD4" w:themeFill="text2" w:themeFillTint="99"/>
            <w:vAlign w:val="top"/>
          </w:tcPr>
          <w:p w14:paraId="119942B6">
            <w:pPr>
              <w:jc w:val="center"/>
              <w:rPr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hd w:val="clear" w:color="auto" w:fill="auto"/>
                <w14:textFill>
                  <w14:solidFill>
                    <w14:schemeClr w14:val="tx1"/>
                  </w14:solidFill>
                </w14:textFill>
              </w:rPr>
              <w:t>识别结果</w:t>
            </w:r>
          </w:p>
        </w:tc>
      </w:tr>
      <w:tr w14:paraId="07B6F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vAlign w:val="top"/>
          </w:tcPr>
          <w:p w14:paraId="4FA65F12">
            <w:pPr>
              <w:jc w:val="center"/>
            </w:pPr>
            <w:r>
              <w:t>wideband_barrage</w:t>
            </w:r>
          </w:p>
        </w:tc>
        <w:tc>
          <w:tcPr>
            <w:tcW w:w="2394" w:type="dxa"/>
            <w:vAlign w:val="top"/>
          </w:tcPr>
          <w:p w14:paraId="2DAC0772">
            <w:pPr>
              <w:jc w:val="center"/>
            </w:pPr>
            <w:r>
              <w:t>17.68 ms</w:t>
            </w:r>
          </w:p>
        </w:tc>
        <w:tc>
          <w:tcPr>
            <w:tcW w:w="2394" w:type="dxa"/>
            <w:vAlign w:val="top"/>
          </w:tcPr>
          <w:p w14:paraId="46A59181">
            <w:pPr>
              <w:jc w:val="center"/>
            </w:pPr>
            <w:r>
              <w:t>56.55 Hz</w:t>
            </w:r>
          </w:p>
        </w:tc>
        <w:tc>
          <w:tcPr>
            <w:tcW w:w="2394" w:type="dxa"/>
            <w:vAlign w:val="top"/>
          </w:tcPr>
          <w:p w14:paraId="2A71080F">
            <w:pPr>
              <w:jc w:val="center"/>
            </w:pPr>
            <w:r>
              <w:t>1120/1131，约99.0%</w:t>
            </w:r>
          </w:p>
        </w:tc>
      </w:tr>
      <w:tr w14:paraId="3AFF74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vAlign w:val="top"/>
          </w:tcPr>
          <w:p w14:paraId="0417D3AD">
            <w:pPr>
              <w:jc w:val="center"/>
            </w:pPr>
            <w:r>
              <w:t>narrowband</w:t>
            </w:r>
          </w:p>
        </w:tc>
        <w:tc>
          <w:tcPr>
            <w:tcW w:w="2394" w:type="dxa"/>
            <w:vAlign w:val="top"/>
          </w:tcPr>
          <w:p w14:paraId="6F928123">
            <w:pPr>
              <w:jc w:val="center"/>
            </w:pPr>
            <w:r>
              <w:t>21.91 ms</w:t>
            </w:r>
          </w:p>
        </w:tc>
        <w:tc>
          <w:tcPr>
            <w:tcW w:w="2394" w:type="dxa"/>
            <w:vAlign w:val="top"/>
          </w:tcPr>
          <w:p w14:paraId="161E2E0C">
            <w:pPr>
              <w:jc w:val="center"/>
            </w:pPr>
            <w:r>
              <w:t>45.65 Hz</w:t>
            </w:r>
          </w:p>
        </w:tc>
        <w:tc>
          <w:tcPr>
            <w:tcW w:w="2394" w:type="dxa"/>
            <w:vAlign w:val="top"/>
          </w:tcPr>
          <w:p w14:paraId="5815A541">
            <w:pPr>
              <w:jc w:val="center"/>
            </w:pPr>
            <w:r>
              <w:t>833/913，约91.2%</w:t>
            </w:r>
          </w:p>
        </w:tc>
      </w:tr>
      <w:tr w14:paraId="7C2EF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vAlign w:val="top"/>
          </w:tcPr>
          <w:p w14:paraId="6E5370E1">
            <w:pPr>
              <w:jc w:val="center"/>
            </w:pPr>
            <w:r>
              <w:t>single_tone</w:t>
            </w:r>
          </w:p>
        </w:tc>
        <w:tc>
          <w:tcPr>
            <w:tcW w:w="2394" w:type="dxa"/>
            <w:vAlign w:val="top"/>
          </w:tcPr>
          <w:p w14:paraId="4AC30043">
            <w:pPr>
              <w:jc w:val="center"/>
            </w:pPr>
            <w:r>
              <w:t>29.24 ms</w:t>
            </w:r>
          </w:p>
        </w:tc>
        <w:tc>
          <w:tcPr>
            <w:tcW w:w="2394" w:type="dxa"/>
            <w:vAlign w:val="top"/>
          </w:tcPr>
          <w:p w14:paraId="59C1CB2A">
            <w:pPr>
              <w:jc w:val="center"/>
            </w:pPr>
            <w:r>
              <w:t>34.20 Hz</w:t>
            </w:r>
          </w:p>
        </w:tc>
        <w:tc>
          <w:tcPr>
            <w:tcW w:w="2394" w:type="dxa"/>
            <w:vAlign w:val="top"/>
          </w:tcPr>
          <w:p w14:paraId="151F974C">
            <w:pPr>
              <w:jc w:val="center"/>
            </w:pPr>
            <w:r>
              <w:t>684/684，100%</w:t>
            </w:r>
          </w:p>
        </w:tc>
      </w:tr>
      <w:tr w14:paraId="4E13E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vAlign w:val="top"/>
          </w:tcPr>
          <w:p w14:paraId="42C5246B">
            <w:pPr>
              <w:jc w:val="center"/>
            </w:pPr>
            <w:r>
              <w:t>comb</w:t>
            </w:r>
          </w:p>
        </w:tc>
        <w:tc>
          <w:tcPr>
            <w:tcW w:w="2394" w:type="dxa"/>
            <w:vAlign w:val="top"/>
          </w:tcPr>
          <w:p w14:paraId="4B5468DA">
            <w:pPr>
              <w:jc w:val="center"/>
            </w:pPr>
            <w:r>
              <w:t>29.90 ms</w:t>
            </w:r>
          </w:p>
        </w:tc>
        <w:tc>
          <w:tcPr>
            <w:tcW w:w="2394" w:type="dxa"/>
            <w:vAlign w:val="top"/>
          </w:tcPr>
          <w:p w14:paraId="20FD3506">
            <w:pPr>
              <w:jc w:val="center"/>
            </w:pPr>
            <w:r>
              <w:t>33.45 Hz</w:t>
            </w:r>
          </w:p>
        </w:tc>
        <w:tc>
          <w:tcPr>
            <w:tcW w:w="2394" w:type="dxa"/>
            <w:vAlign w:val="top"/>
          </w:tcPr>
          <w:p w14:paraId="3283BDFD">
            <w:pPr>
              <w:jc w:val="center"/>
            </w:pPr>
            <w:r>
              <w:t>668/669，约99.9%</w:t>
            </w:r>
          </w:p>
        </w:tc>
      </w:tr>
      <w:tr w14:paraId="2B357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vAlign w:val="top"/>
          </w:tcPr>
          <w:p w14:paraId="2095983D">
            <w:pPr>
              <w:jc w:val="center"/>
            </w:pPr>
            <w:r>
              <w:t>white_noise</w:t>
            </w:r>
          </w:p>
        </w:tc>
        <w:tc>
          <w:tcPr>
            <w:tcW w:w="2394" w:type="dxa"/>
            <w:vAlign w:val="top"/>
          </w:tcPr>
          <w:p w14:paraId="1B0B5CE5">
            <w:pPr>
              <w:jc w:val="center"/>
            </w:pPr>
            <w:r>
              <w:t>30.86 ms</w:t>
            </w:r>
          </w:p>
        </w:tc>
        <w:tc>
          <w:tcPr>
            <w:tcW w:w="2394" w:type="dxa"/>
            <w:vAlign w:val="top"/>
          </w:tcPr>
          <w:p w14:paraId="6A6B6974">
            <w:pPr>
              <w:jc w:val="center"/>
            </w:pPr>
            <w:r>
              <w:t>32.40 Hz</w:t>
            </w:r>
          </w:p>
        </w:tc>
        <w:tc>
          <w:tcPr>
            <w:tcW w:w="2394" w:type="dxa"/>
            <w:vAlign w:val="top"/>
          </w:tcPr>
          <w:p w14:paraId="3B341B42">
            <w:pPr>
              <w:jc w:val="center"/>
            </w:pPr>
            <w:r>
              <w:t>648/648，100%</w:t>
            </w:r>
          </w:p>
        </w:tc>
      </w:tr>
      <w:tr w14:paraId="491579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4" w:type="dxa"/>
            <w:vAlign w:val="top"/>
          </w:tcPr>
          <w:p w14:paraId="700BC615">
            <w:pPr>
              <w:jc w:val="center"/>
            </w:pPr>
            <w:r>
              <w:t>noise_fm</w:t>
            </w:r>
          </w:p>
        </w:tc>
        <w:tc>
          <w:tcPr>
            <w:tcW w:w="2394" w:type="dxa"/>
            <w:vAlign w:val="top"/>
          </w:tcPr>
          <w:p w14:paraId="31BE06B6">
            <w:pPr>
              <w:jc w:val="center"/>
            </w:pPr>
            <w:r>
              <w:t>38.84 ms</w:t>
            </w:r>
          </w:p>
        </w:tc>
        <w:tc>
          <w:tcPr>
            <w:tcW w:w="2394" w:type="dxa"/>
            <w:vAlign w:val="top"/>
          </w:tcPr>
          <w:p w14:paraId="7FFA12CA">
            <w:pPr>
              <w:jc w:val="center"/>
            </w:pPr>
            <w:r>
              <w:t>25.75 Hz</w:t>
            </w:r>
          </w:p>
        </w:tc>
        <w:tc>
          <w:tcPr>
            <w:tcW w:w="2394" w:type="dxa"/>
            <w:vAlign w:val="top"/>
          </w:tcPr>
          <w:p w14:paraId="2651455E">
            <w:pPr>
              <w:jc w:val="center"/>
            </w:pPr>
            <w:r>
              <w:t>515/515，100%</w:t>
            </w:r>
          </w:p>
        </w:tc>
      </w:tr>
    </w:tbl>
    <w:p w14:paraId="246B59E6"/>
    <w:p w14:paraId="63C48B8D">
      <w:pPr>
        <w:pStyle w:val="3"/>
      </w:pPr>
      <w:r>
        <w:rPr>
          <w:rFonts w:hint="eastAsia" w:eastAsia="宋体"/>
          <w:lang w:val="en-US" w:eastAsia="zh-CN"/>
        </w:rPr>
        <w:t>7</w:t>
      </w:r>
      <w:r>
        <w:t xml:space="preserve">. </w:t>
      </w:r>
      <w:r>
        <w:rPr>
          <w:rFonts w:hint="eastAsia" w:eastAsia="宋体"/>
          <w:lang w:val="en-US" w:eastAsia="zh-CN"/>
        </w:rPr>
        <w:t>关</w:t>
      </w:r>
      <w:r>
        <w:t>键结论</w:t>
      </w:r>
    </w:p>
    <w:p w14:paraId="0CB0ED94">
      <w:pPr>
        <w:pStyle w:val="16"/>
      </w:pPr>
      <w:r>
        <w:t xml:space="preserve">本次测试共统计 1226 次识别输出，模型处理总耗时平均为 </w:t>
      </w:r>
      <w:r>
        <w:rPr>
          <w:rFonts w:hint="eastAsia" w:ascii="Calibri" w:hAnsi="Calibri" w:eastAsia="微软雅黑"/>
          <w:b w:val="0"/>
          <w:sz w:val="19"/>
        </w:rPr>
        <w:t>27.363</w:t>
      </w:r>
      <w:r>
        <w:t xml:space="preserve">ms，最小 </w:t>
      </w:r>
      <w:r>
        <w:rPr>
          <w:rFonts w:hint="eastAsia" w:ascii="Calibri" w:hAnsi="Calibri" w:eastAsia="微软雅黑"/>
          <w:b w:val="0"/>
          <w:sz w:val="19"/>
        </w:rPr>
        <w:t xml:space="preserve">11.887 </w:t>
      </w:r>
      <w:r>
        <w:t xml:space="preserve">ms，最大 </w:t>
      </w:r>
      <w:r>
        <w:rPr>
          <w:rFonts w:hint="eastAsia"/>
          <w:b w:val="0"/>
          <w:sz w:val="19"/>
          <w:lang w:val="en-US" w:eastAsia="zh-CN"/>
        </w:rPr>
        <w:t>51.502</w:t>
      </w:r>
      <w:r>
        <w:t>ms。</w:t>
      </w:r>
    </w:p>
    <w:p w14:paraId="527F1813">
      <w:pPr>
        <w:pStyle w:val="16"/>
      </w:pPr>
      <w:r>
        <w:t>主要耗时集中在RKNN推理和STFT预处理，两者合计约占处理总耗时的9</w:t>
      </w:r>
      <w:r>
        <w:rPr>
          <w:rFonts w:hint="eastAsia"/>
          <w:lang w:val="en-US" w:eastAsia="zh-CN"/>
        </w:rPr>
        <w:t>4</w:t>
      </w:r>
      <w:r>
        <w:t>%以上。</w:t>
      </w:r>
    </w:p>
    <w:p w14:paraId="0F98E182">
      <w:pPr>
        <w:pStyle w:val="16"/>
      </w:pPr>
      <w:r>
        <w:t>等待新帧平均仅0.</w:t>
      </w:r>
      <w:r>
        <w:rPr>
          <w:rFonts w:hint="eastAsia"/>
          <w:lang w:val="en-US" w:eastAsia="zh-CN"/>
        </w:rPr>
        <w:t>29</w:t>
      </w:r>
      <w:r>
        <w:t>ms，说明识别完成后基本不需要等待数据，采集与识别已形成流水。</w:t>
      </w:r>
    </w:p>
    <w:p w14:paraId="1B962F5A">
      <w:pPr>
        <w:pStyle w:val="16"/>
      </w:pPr>
      <w:r>
        <w:t>发射端25 ms切换周期与接收端约</w:t>
      </w:r>
      <w:r>
        <w:rPr>
          <w:rFonts w:hint="eastAsia"/>
          <w:lang w:val="en-US" w:eastAsia="zh-CN"/>
        </w:rPr>
        <w:t>20ms左右</w:t>
      </w:r>
      <w:r>
        <w:t>处理周期匹配，可以用于展示25 ms级干扰变化跟踪能力。</w:t>
      </w:r>
    </w:p>
    <w:p w14:paraId="285C0FA3"/>
    <w:p w14:paraId="122212BD">
      <w:pPr>
        <w:pStyle w:val="3"/>
        <w:rPr>
          <w:rFonts w:hint="eastAsia" w:eastAsia="宋体"/>
          <w:lang w:eastAsia="zh-CN"/>
        </w:rPr>
      </w:pPr>
      <w:r>
        <w:t>8. 验</w:t>
      </w:r>
      <w:r>
        <w:rPr>
          <w:rFonts w:hint="eastAsia" w:eastAsia="宋体"/>
          <w:lang w:val="en-US" w:eastAsia="zh-CN"/>
        </w:rPr>
        <w:t>收展示建议</w:t>
      </w:r>
    </w:p>
    <w:p w14:paraId="405CD97A">
      <w:pPr>
        <w:pStyle w:val="14"/>
      </w:pPr>
      <w:r>
        <w:t>先固定发射一种干扰，确认接收端识别稳定。</w:t>
      </w:r>
    </w:p>
    <w:p w14:paraId="7C28EFDE">
      <w:pPr>
        <w:pStyle w:val="14"/>
      </w:pPr>
      <w:r>
        <w:t>再开启发射端循环切换，切换周期设置为25 ms。</w:t>
      </w:r>
    </w:p>
    <w:p w14:paraId="79FB9A9F">
      <w:pPr>
        <w:pStyle w:val="14"/>
      </w:pPr>
      <w:r>
        <w:t>接收端打开性能展示页，观察平均切换跟踪时间、识别频率和当前识别类别变化。</w:t>
      </w:r>
    </w:p>
    <w:p w14:paraId="401F58B7">
      <w:pPr>
        <w:pStyle w:val="14"/>
      </w:pPr>
      <w:r>
        <w:t>如需展示分阶段耗时，在接收端SSH执行 speed_benchmark.sh 20，并展示 stage timing 输出。</w:t>
      </w:r>
    </w:p>
    <w:p w14:paraId="7064E187">
      <w:r>
        <w:rPr>
          <w:rFonts w:ascii="Calibri" w:hAnsi="Calibri" w:eastAsia="微软雅黑"/>
          <w:b/>
          <w:sz w:val="22"/>
        </w:rPr>
        <w:t>推荐命令：</w:t>
      </w:r>
    </w:p>
    <w:p w14:paraId="17280277">
      <w:pPr>
        <w:ind w:left="340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cd /home/pi/Desktop/run/JamSystem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JAMSYSTEM_RX_GAIN_DB=45 \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JAMSYSTEM_FAST_STFT_STRIDE=2 \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./speed_benchmark.sh 20</w:t>
      </w:r>
    </w:p>
    <w:p w14:paraId="1F76E867">
      <w:pPr>
        <w:ind w:left="340"/>
        <w:rPr>
          <w:rFonts w:ascii="Consolas" w:hAnsi="Consolas"/>
          <w:sz w:val="19"/>
        </w:rPr>
      </w:pPr>
    </w:p>
    <w:p w14:paraId="63514B41"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4DC4E91"/>
    <w:rsid w:val="17001B84"/>
    <w:rsid w:val="290B50B4"/>
    <w:rsid w:val="35C514C1"/>
    <w:rsid w:val="3B512358"/>
    <w:rsid w:val="3CCA24D6"/>
    <w:rsid w:val="3DCE2C84"/>
    <w:rsid w:val="4A3E4DC3"/>
    <w:rsid w:val="4DDE205E"/>
    <w:rsid w:val="55BC1B80"/>
    <w:rsid w:val="60594B73"/>
    <w:rsid w:val="7C855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64" w:lineRule="auto"/>
    </w:pPr>
    <w:rPr>
      <w:rFonts w:ascii="Calibri" w:hAnsi="Calibri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280" w:after="12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12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12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styleId="136">
    <w:name w:val="HTML Code"/>
    <w:basedOn w:val="133"/>
    <w:semiHidden/>
    <w:unhideWhenUsed/>
    <w:uiPriority w:val="99"/>
    <w:rPr>
      <w:rFonts w:ascii="Courier New" w:hAnsi="Courier New"/>
      <w:sz w:val="20"/>
    </w:rPr>
  </w:style>
  <w:style w:type="character" w:customStyle="1" w:styleId="137">
    <w:name w:val="Header Char"/>
    <w:basedOn w:val="133"/>
    <w:link w:val="25"/>
    <w:uiPriority w:val="99"/>
  </w:style>
  <w:style w:type="character" w:customStyle="1" w:styleId="138">
    <w:name w:val="Footer Char"/>
    <w:basedOn w:val="133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3"/>
    <w:link w:val="19"/>
    <w:uiPriority w:val="99"/>
  </w:style>
  <w:style w:type="character" w:customStyle="1" w:styleId="147">
    <w:name w:val="Body Text 2 Char"/>
    <w:basedOn w:val="133"/>
    <w:link w:val="28"/>
    <w:uiPriority w:val="99"/>
  </w:style>
  <w:style w:type="character" w:customStyle="1" w:styleId="148">
    <w:name w:val="Body Text 3 Char"/>
    <w:basedOn w:val="133"/>
    <w:link w:val="17"/>
    <w:uiPriority w:val="99"/>
    <w:rPr>
      <w:sz w:val="16"/>
      <w:szCs w:val="16"/>
    </w:rPr>
  </w:style>
  <w:style w:type="character" w:customStyle="1" w:styleId="149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3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3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1004</Words>
  <Characters>1693</Characters>
  <Lines>0</Lines>
  <Paragraphs>0</Paragraphs>
  <TotalTime>4</TotalTime>
  <ScaleCrop>false</ScaleCrop>
  <LinksUpToDate>false</LinksUpToDate>
  <CharactersWithSpaces>1763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何俊榆</cp:lastModifiedBy>
  <dcterms:modified xsi:type="dcterms:W3CDTF">2026-06-24T05:22:39Z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eyJoZGlkIjoiM2YwNDU1MWM4ZTdlYTZiYjhlOTRiZTBlN2FjZTA2ZWQiLCJ1c2VySWQiOiIxNzI0NDI0MDYzIn0=</vt:lpwstr>
  </property>
  <property fmtid="{D5CDD505-2E9C-101B-9397-08002B2CF9AE}" pid="3" name="KSOProductBuildVer">
    <vt:lpwstr>2052-12.1.0.26895</vt:lpwstr>
  </property>
  <property fmtid="{D5CDD505-2E9C-101B-9397-08002B2CF9AE}" pid="4" name="ICV">
    <vt:lpwstr>CE1123BC3096491690F7A5AA1B0F727A_12</vt:lpwstr>
  </property>
</Properties>
</file>