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Genomics Project Fall 2025</w:t>
      </w:r>
    </w:p>
    <w:p>
      <w:pPr>
        <w:pStyle w:val="Author"/>
      </w:pPr>
      <w:r>
        <w:t xml:space="preserve">Myles Taillefer 100315385</w:t>
      </w:r>
    </w:p>
    <w:p>
      <w:pPr>
        <w:pStyle w:val="Date"/>
      </w:pPr>
      <w:r>
        <w:t xml:space="preserve">2025-12-08</w:t>
      </w:r>
    </w:p>
    <w:p>
      <w:pPr>
        <w:pStyle w:val="FirstParagraph"/>
      </w:pPr>
      <w:r>
        <w:rPr>
          <w:b/>
          <w:bCs/>
        </w:rPr>
        <w:t xml:space="preserve">Abstract</w:t>
      </w:r>
    </w:p>
    <w:p>
      <w:pPr>
        <w:pStyle w:val="BodyText"/>
      </w:pPr>
      <w:r>
        <w:t xml:space="preserve">Yeasts are a diverse group of fungi with many applications in a wide variety of industries. The applications of a given species are determined by what genes and pathways they carry in their genomes. Modern sequencing technology and genomic techniques allows us to peer into the genome of a species and prospect for potential uses. The cost of sequencing and computing has decreased dramatically in recent years, allowing the expansion of genomics research into the coursework of college students at even the undergraduate level. In this project we present the assembled and annotated genomes of two wild yeast isolates, Wickerhamomyces anomalus and Sungouiella akabanensis, along with a complete pipeline for yeast genome annotation from initial read quality control to analysis of annotation results. One of these isolates, S. akabanensis, is a previously ungenotyped species, and therefore this assembly could serve as the basis for further research. We examined the genomes of these yeasts for traits indicating possible bioremediation applications, and found a high number of cytochrome P450s, metal ion transporters and phosphate transporters present in S. akabanensis. This indicates that S. akabanensis is promising for bioremediation applications and arsenic X warrants additional investigation.</w:t>
      </w:r>
    </w:p>
    <w:p>
      <w:pPr>
        <w:pStyle w:val="BodyText"/>
      </w:pPr>
      <w:r>
        <w:rPr>
          <w:b/>
          <w:bCs/>
        </w:rPr>
        <w:t xml:space="preserve">Keywords</w:t>
      </w:r>
      <w:r>
        <w:t xml:space="preserve">: Genomics, Wickerhamomyces anomalus, Sungouiella akabanensis, yeast, bioremediation, xenobiotics</w:t>
      </w:r>
    </w:p>
    <w:p>
      <w:pPr>
        <w:pStyle w:val="BodyText"/>
      </w:pPr>
      <w:r>
        <w:rPr>
          <w:b/>
          <w:bCs/>
        </w:rPr>
        <w:t xml:space="preserve">Background</w:t>
      </w:r>
    </w:p>
    <w:p>
      <w:pPr>
        <w:pStyle w:val="BodyText"/>
      </w:pPr>
      <w:r>
        <w:t xml:space="preserve">Genomics is a field of biology that seeks to study and explore the entire genetic material of an organism. A field with applications as diverse as ecological surveys and industrial applications, it forms the foundation of much of current biological research. It can allow us to answer the question of what microbes are living in a given environment, without the drawbacks of needing to culture a sample</w:t>
      </w:r>
      <w:r>
        <w:t xml:space="preserve"> </w:t>
      </w:r>
      <w:r>
        <w:t xml:space="preserve">(Adams et al. 2019)</w:t>
      </w:r>
      <w:r>
        <w:t xml:space="preserve">. Genomics provides the methods to classify organisms to a greater precision than was ever possible with simple morphological or even gene based trees</w:t>
      </w:r>
      <w:r>
        <w:t xml:space="preserve"> </w:t>
      </w:r>
      <w:r>
        <w:t xml:space="preserve">(Telford, Budd, and Philippe 2015)</w:t>
      </w:r>
      <w:r>
        <w:t xml:space="preserve">. It gives us the tools to explore understudied organisms and examine their metabolisms and even discover novel uses for them. One such domain of underexplored organisms is fungi</w:t>
      </w:r>
      <w:r>
        <w:t xml:space="preserve"> </w:t>
      </w:r>
      <w:r>
        <w:t xml:space="preserve">(Cunningham et al. 2024)</w:t>
      </w:r>
      <w:r>
        <w:t xml:space="preserve">.</w:t>
      </w:r>
    </w:p>
    <w:p>
      <w:pPr>
        <w:pStyle w:val="BodyText"/>
      </w:pPr>
      <w:r>
        <w:t xml:space="preserve">While the questions that genomics can answer are varied, the general workflow is conserved. DNA is extracted from an organism and processed</w:t>
      </w:r>
      <w:r>
        <w:t xml:space="preserve"> </w:t>
      </w:r>
      <w:r>
        <w:t xml:space="preserve">(Vereecke et al. 2025)</w:t>
      </w:r>
      <w:r>
        <w:t xml:space="preserve">. It is fed to a sequencing machine to generate reads, contiguous subsequences of the greater genome</w:t>
      </w:r>
      <w:r>
        <w:t xml:space="preserve"> </w:t>
      </w:r>
      <w:r>
        <w:t xml:space="preserve">(Vereecke et al. 2025)</w:t>
      </w:r>
      <w:r>
        <w:t xml:space="preserve">. Sequencing platforms fall into two main strategies; short read and long read sequencing</w:t>
      </w:r>
      <w:r>
        <w:t xml:space="preserve"> </w:t>
      </w:r>
      <w:r>
        <w:t xml:space="preserve">(Satam et al. 2023)</w:t>
      </w:r>
      <w:r>
        <w:t xml:space="preserve">. Today Illumina (short read) competes with Oxford Nanopore Technologies and Pacific Biosciences (long read) for their place in the sequencing market</w:t>
      </w:r>
      <w:r>
        <w:t xml:space="preserve"> </w:t>
      </w:r>
      <w:r>
        <w:t xml:space="preserve">(Satam et al. 2023)</w:t>
      </w:r>
      <w:r>
        <w:t xml:space="preserve">. These high-throughput platforms produce huge amounts of data for a fraction of the cost and time as was required 25 years ago</w:t>
      </w:r>
      <w:r>
        <w:t xml:space="preserve"> </w:t>
      </w:r>
      <w:r>
        <w:t xml:space="preserve">(Lee 2023)</w:t>
      </w:r>
      <w:r>
        <w:t xml:space="preserve">. It is this increase in throughput and drop in price that has allowed the integration of genomics into even undergraduate coursework. Modern devices allow for</w:t>
      </w:r>
      <w:r>
        <w:t xml:space="preserve"> </w:t>
      </w:r>
      <w:r>
        <w:t xml:space="preserve">‘multiplexing’</w:t>
      </w:r>
      <w:r>
        <w:t xml:space="preserve">, that is the sequencing of multiple samples simultaneously. Once sequencing is complete, the DNA from different samples must be separated, a process known as demultiplexing</w:t>
      </w:r>
      <w:r>
        <w:t xml:space="preserve"> </w:t>
      </w:r>
      <w:r>
        <w:t xml:space="preserve">(Satam et al. 2023)</w:t>
      </w:r>
      <w:r>
        <w:t xml:space="preserve">. Next, quality control must be performed. Typical metrics by which the run is evaluated include the length distribution of the reads and quality scores. Unwanted reads are rejected, and for short reads often the lower quality back end of the read is trimmed. Since the chemistry of long read sequencing is different, low quality bases are not skewed towards the back end of reads and trimming is not typically performed</w:t>
      </w:r>
      <w:r>
        <w:t xml:space="preserve"> </w:t>
      </w:r>
      <w:r>
        <w:t xml:space="preserve">(Satam et al. 2023)</w:t>
      </w:r>
      <w:r>
        <w:t xml:space="preserve">. After the quality of the data is deemed acceptable, the reads are arranged by a program known as an assembler into a genome assembly. Assemblers work either with the use of a reference genome, or</w:t>
      </w:r>
      <w:r>
        <w:t xml:space="preserve"> </w:t>
      </w:r>
      <w:r>
        <w:t xml:space="preserve">‘de novo’</w:t>
      </w:r>
      <w:r>
        <w:t xml:space="preserve">, building the genome from scratch</w:t>
      </w:r>
      <w:r>
        <w:t xml:space="preserve"> </w:t>
      </w:r>
      <w:r>
        <w:t xml:space="preserve">(Moreton, Izquierdo, and Emes 2016)</w:t>
      </w:r>
      <w:r>
        <w:t xml:space="preserve">. The assembly must then be evaluated. Common metrics of evaluation include the N50 score (the length of the shortest contig among the longest contigs accounting for 50% of the data), the length of the assembly compared to its expected size, the contiguity and the completeness of the assembly</w:t>
      </w:r>
      <w:r>
        <w:t xml:space="preserve"> </w:t>
      </w:r>
      <w:r>
        <w:t xml:space="preserve">(Wang and Wang 2023)</w:t>
      </w:r>
      <w:r>
        <w:t xml:space="preserve">.</w:t>
      </w:r>
    </w:p>
    <w:p>
      <w:pPr>
        <w:pStyle w:val="BodyText"/>
      </w:pPr>
      <w:r>
        <w:t xml:space="preserve">To gain meaningful insight into the genome, the assembly must be annotated. Annotation is the assignment of function to regions of the genome</w:t>
      </w:r>
      <w:r>
        <w:t xml:space="preserve"> </w:t>
      </w:r>
      <w:r>
        <w:t xml:space="preserve">(Ejigu and Jung 2020)</w:t>
      </w:r>
      <w:r>
        <w:t xml:space="preserve">. The locations of genes are predicted based on their sequence and their functions are predicted by aligning them against large datasets of known coding sequences</w:t>
      </w:r>
      <w:r>
        <w:t xml:space="preserve"> </w:t>
      </w:r>
      <w:r>
        <w:t xml:space="preserve">(Ejigu and Jung 2020)</w:t>
      </w:r>
      <w:r>
        <w:t xml:space="preserve">. Though this allows us to predict what proteins an organism produces, further testing must be performed to confirm the results. This testing often takes the form of transcriptomics, the study of the summation of mRNA transcripts in an organism</w:t>
      </w:r>
      <w:r>
        <w:t xml:space="preserve"> </w:t>
      </w:r>
      <w:r>
        <w:t xml:space="preserve">(Lowe et al. 2017)</w:t>
      </w:r>
      <w:r>
        <w:t xml:space="preserve">. By aligning the transcriptome against the genome, we can determine which genes are being transcribed and increase our confidence in the annotation</w:t>
      </w:r>
      <w:r>
        <w:t xml:space="preserve"> </w:t>
      </w:r>
      <w:r>
        <w:t xml:space="preserve">(Lowe et al. 2017)</w:t>
      </w:r>
      <w:r>
        <w:t xml:space="preserve">.</w:t>
      </w:r>
    </w:p>
    <w:p>
      <w:pPr>
        <w:pStyle w:val="BodyText"/>
      </w:pPr>
      <w:r>
        <w:t xml:space="preserve">Yeasts are a group of primarily single-celled fungi that have a long history with humanity. The metabolic abilities of yeast have been exploited by humans for the leavening of bread and fermentation of alcohol for thousands of years</w:t>
      </w:r>
      <w:r>
        <w:t xml:space="preserve"> </w:t>
      </w:r>
      <w:r>
        <w:t xml:space="preserve">(Tullio 2022)</w:t>
      </w:r>
      <w:r>
        <w:t xml:space="preserve">. In recent years other applications have been explored such as biofuel and protein production, and in bioremediation. Bioremediation is the use of microorganisms to clean and detoxify waste products. Yeasts are good candidates for bioremediation applications as they have diverse metabolisms and are able to metabolize a wide variety of natural and xenobiotic compounds</w:t>
      </w:r>
      <w:r>
        <w:t xml:space="preserve"> </w:t>
      </w:r>
      <w:r>
        <w:t xml:space="preserve">(Mohiuddin et al. 2024)</w:t>
      </w:r>
      <w:r>
        <w:t xml:space="preserve">. Yeasts also exhibit biosorption abilities and are capable of absorbing and concentrating heavy metals</w:t>
      </w:r>
      <w:r>
        <w:t xml:space="preserve"> </w:t>
      </w:r>
      <w:r>
        <w:t xml:space="preserve">(Xiao et al. 2025)</w:t>
      </w:r>
      <w:r>
        <w:t xml:space="preserve">.</w:t>
      </w:r>
    </w:p>
    <w:p>
      <w:pPr>
        <w:pStyle w:val="BodyText"/>
      </w:pPr>
      <w:r>
        <w:t xml:space="preserve">The xenobiotic enzymes of fungi can be harnessed to process many waste products. Yeasts biodegrade pesticides using cytochrome P450s (CYP) and laccases</w:t>
      </w:r>
      <w:r>
        <w:t xml:space="preserve"> </w:t>
      </w:r>
      <w:r>
        <w:t xml:space="preserve">Pritsch et al. (2024)</w:t>
      </w:r>
      <w:r>
        <w:t xml:space="preserve">. Cytochrome P450s are a very diverse group of haem-containing monooxygenases that catalyze a wide variety of reactions</w:t>
      </w:r>
      <w:r>
        <w:t xml:space="preserve"> </w:t>
      </w:r>
      <w:r>
        <w:t xml:space="preserve">(Ide, Ichinose, and Wariishi 2012)</w:t>
      </w:r>
      <w:r>
        <w:t xml:space="preserve">. Laccases are multicopper oxidases with broad substrate specificity produced to degrade lignin</w:t>
      </w:r>
      <w:r>
        <w:t xml:space="preserve"> </w:t>
      </w:r>
      <w:r>
        <w:t xml:space="preserve">(Agrawal, Chaturvedi, and Verma 2018)</w:t>
      </w:r>
      <w:r>
        <w:t xml:space="preserve">. They are most commonly found in rot fungi, but are also found in yeast</w:t>
      </w:r>
      <w:r>
        <w:t xml:space="preserve"> </w:t>
      </w:r>
      <w:r>
        <w:t xml:space="preserve">(Bautista‐Guerrero et al. 2022)</w:t>
      </w:r>
      <w:r>
        <w:t xml:space="preserve">. They have been shown halogenated pollutants such as polyfluorinated alkyl substances (PFAS) and polychlorinated biphenyls (PCBs)</w:t>
      </w:r>
      <w:r>
        <w:t xml:space="preserve"> </w:t>
      </w:r>
      <w:r>
        <w:t xml:space="preserve">(Khan et al. 2023)</w:t>
      </w:r>
      <w:r>
        <w:t xml:space="preserve">. CYPs and laccases, along with tyrosinases have also been should to degrade dyes</w:t>
      </w:r>
      <w:r>
        <w:t xml:space="preserve"> </w:t>
      </w:r>
      <w:r>
        <w:t xml:space="preserve">(Khan et al. 2023)</w:t>
      </w:r>
      <w:r>
        <w:t xml:space="preserve">. Polyaromatic hydrocarbons created in the burning of wood and fossil fuels can be degraded by peroxidases such as manganese peroxidase and lignin perodixase, as well as CYPs</w:t>
      </w:r>
      <w:r>
        <w:t xml:space="preserve"> </w:t>
      </w:r>
      <w:r>
        <w:t xml:space="preserve">(Khan et al. 2023)</w:t>
      </w:r>
      <w:r>
        <w:t xml:space="preserve">.</w:t>
      </w:r>
    </w:p>
    <w:p>
      <w:pPr>
        <w:pStyle w:val="BodyText"/>
      </w:pPr>
      <w:r>
        <w:t xml:space="preserve">Another aspect of bioremediation is the biosorption and accumulation of heavy metals. This process is well documented in plants, yet yeasts offer many advantages over plants. Plants require more upkeep and are more limited in growing conditions</w:t>
      </w:r>
      <w:r>
        <w:t xml:space="preserve"> </w:t>
      </w:r>
      <w:r>
        <w:t xml:space="preserve">(Sun, Reynolds, and Belcher 2019)</w:t>
      </w:r>
      <w:r>
        <w:t xml:space="preserve">. In yeasts the absorption of heavy metals relies heavily on metal ion transporters such as those for iron, copper and zinc</w:t>
      </w:r>
      <w:r>
        <w:t xml:space="preserve"> </w:t>
      </w:r>
      <w:r>
        <w:t xml:space="preserve">(Sun, Reynolds, and Belcher 2019)</w:t>
      </w:r>
      <w:r>
        <w:t xml:space="preserve">. The uptake of chromium and arsenic relies on sulfate and phosphate transporters. This is due to the molecular similarity of phosphate and arsenate, and of sulfate and chromate.</w:t>
      </w:r>
      <w:r>
        <w:t xml:space="preserve"> </w:t>
      </w:r>
      <w:r>
        <w:t xml:space="preserve">Catarecha et al. (2007)</w:t>
      </w:r>
      <w:r>
        <w:t xml:space="preserve">. After the metal is absorbed, yeasts rely on chelators such as glutathione and the metallothionein CUP1 to limit toxicity</w:t>
      </w:r>
      <w:r>
        <w:t xml:space="preserve"> </w:t>
      </w:r>
      <w:r>
        <w:t xml:space="preserve">(Hall 2002)</w:t>
      </w:r>
      <w:r>
        <w:t xml:space="preserve">. Cytochrome P450s have also been shown to contribute to the bioaccumulation of heavy metals</w:t>
      </w:r>
      <w:r>
        <w:t xml:space="preserve"> </w:t>
      </w:r>
      <w:r>
        <w:t xml:space="preserve">(Chen et al. 2022)</w:t>
      </w:r>
      <w:r>
        <w:t xml:space="preserve">.</w:t>
      </w:r>
    </w:p>
    <w:p>
      <w:pPr>
        <w:pStyle w:val="BodyText"/>
      </w:pPr>
      <w:r>
        <w:t xml:space="preserve">Sungouiella akabanensis is a yeast for which there is little published research. As of the writing of this paper, there is no published genome assembly for this strain. A 2020 study found that the species, then known as Candida akabanensis, showed strong antifungal drug resistance</w:t>
      </w:r>
      <w:r>
        <w:t xml:space="preserve"> </w:t>
      </w:r>
      <w:r>
        <w:t xml:space="preserve">Lillian et al. (2022)</w:t>
      </w:r>
      <w:r>
        <w:t xml:space="preserve">. The species is also capable of fermenting xylose to alcohol</w:t>
      </w:r>
      <w:r>
        <w:t xml:space="preserve"> </w:t>
      </w:r>
      <w:r>
        <w:t xml:space="preserve">(Valinhas et al. 2018)</w:t>
      </w:r>
      <w:r>
        <w:t xml:space="preserve">. The multidrug resistance capabilities of S. akabanensis could indicate that the yeast is suitable for detoxification purposes. The multidrug resistance ERG11 gene that was found by Lillian et al. is a cytochrome P450. It is likely that the strain has more xenobiotic metabolism genes that could be useful in bioremediation. As the metal absorption qualities of this strain are unstudied, an investigation into its metal uptake and resistance genes would be enlightening.</w:t>
      </w:r>
    </w:p>
    <w:p>
      <w:pPr>
        <w:pStyle w:val="BodyText"/>
      </w:pPr>
      <w:r>
        <w:t xml:space="preserve">Wickerhamomyces anomalus is a yeast that has undergone much phylogenetic reshuffling, having been known as Hansenula anomala, Pichia anomala, and Candida pelliculosa</w:t>
      </w:r>
      <w:r>
        <w:t xml:space="preserve"> </w:t>
      </w:r>
      <w:r>
        <w:t xml:space="preserve">(Ioannou, Baliou, and Kofteridis 2024)</w:t>
      </w:r>
      <w:r>
        <w:t xml:space="preserve">. It is best known for its use in winemaking as a biocontrol yeast, impeding mold growth</w:t>
      </w:r>
      <w:r>
        <w:t xml:space="preserve"> </w:t>
      </w:r>
      <w:r>
        <w:t xml:space="preserve">(Kuchen et al. 2023)</w:t>
      </w:r>
      <w:r>
        <w:t xml:space="preserve">. Its ability to detoxify mycotoxin</w:t>
      </w:r>
      <w:r>
        <w:t xml:space="preserve"> </w:t>
      </w:r>
      <w:r>
        <w:t xml:space="preserve">(Ben Taheur et al. 2019)</w:t>
      </w:r>
      <w:r>
        <w:t xml:space="preserve"> </w:t>
      </w:r>
      <w:r>
        <w:t xml:space="preserve">could indicate that it has the potential for bioremediation applications. A deeper look into the xenobiotic metabolism of W. anomalus will elucidate the extent of this potential. Wickerhamomyces anomalus is also noted for its high osmotolerance</w:t>
      </w:r>
      <w:r>
        <w:t xml:space="preserve"> </w:t>
      </w:r>
      <w:r>
        <w:t xml:space="preserve">(Zhang et al. 2023)</w:t>
      </w:r>
      <w:r>
        <w:t xml:space="preserve">, heat and cold tolerance</w:t>
      </w:r>
      <w:r>
        <w:t xml:space="preserve"> </w:t>
      </w:r>
      <w:r>
        <w:t xml:space="preserve">(Fredlund et al. 2002)</w:t>
      </w:r>
      <w:r>
        <w:t xml:space="preserve"> </w:t>
      </w:r>
      <w:r>
        <w:t xml:space="preserve">and tolerance for highly acidic environments</w:t>
      </w:r>
      <w:r>
        <w:t xml:space="preserve"> </w:t>
      </w:r>
      <w:r>
        <w:t xml:space="preserve">(Fletcher et al. 2015)</w:t>
      </w:r>
      <w:r>
        <w:t xml:space="preserve">. Given this ability to survive a myriad of stressors, this strain may exhibit heavy metal tolerances as well. The combination of resistances make this yeast a good candidate for studies in bioremediation applications.</w:t>
      </w:r>
    </w:p>
    <w:p>
      <w:pPr>
        <w:pStyle w:val="BodyText"/>
      </w:pPr>
      <w:r>
        <w:t xml:space="preserve">In this project we will assemble and annotate the genomes of two wild yeast isolates, Wickerhamomyces anomalus and Sungouiella akabanensis. We will check whether they exhibit genes suitable for bioremediation applications, such as waste management and pollutant detoxification. We will examine their genomes for genes involved in xenobiotic metabolism and the uptake of heavy metals. Should these genes be present, these yeasts would be suitable candidates for further study to quantify their bioremediation capabilities.</w:t>
      </w:r>
    </w:p>
    <w:p>
      <w:pPr>
        <w:pStyle w:val="BodyText"/>
      </w:pPr>
      <w:r>
        <w:rPr>
          <w:b/>
          <w:bCs/>
        </w:rPr>
        <w:t xml:space="preserve">Methods</w:t>
      </w:r>
    </w:p>
    <w:p>
      <w:pPr>
        <w:pStyle w:val="BodyText"/>
      </w:pPr>
      <w:r>
        <w:rPr>
          <w:b/>
          <w:bCs/>
        </w:rPr>
        <w:t xml:space="preserve">Initial QC</w:t>
      </w:r>
    </w:p>
    <w:p>
      <w:pPr>
        <w:pStyle w:val="BodyText"/>
      </w:pPr>
      <w:r>
        <w:t xml:space="preserve">Genomic DNA samples from wild isolates of W. anomalus and S. akabanensis were sequenced with a Nanopore X, resulting in 402 mb and 490 mb of long read data respectively. Initial inspection of the data was performed using Sequali in a conda environment</w:t>
      </w:r>
      <w:r>
        <w:t xml:space="preserve"> </w:t>
      </w:r>
      <w:r>
        <w:t xml:space="preserve">(Vorderman 2024)</w:t>
      </w:r>
      <w:r>
        <w:t xml:space="preserve">. After inspection, the data was filtered based on length using the preprocessedReads function from the bioconductor package QuasR, with the argument</w:t>
      </w:r>
      <w:r>
        <w:t xml:space="preserve"> </w:t>
      </w:r>
      <w:r>
        <w:t xml:space="preserve">‘minlength = 100’</w:t>
      </w:r>
      <w:r>
        <w:t xml:space="preserve"> </w:t>
      </w:r>
      <w:r>
        <w:t xml:space="preserve">for W. hamomyces and</w:t>
      </w:r>
      <w:r>
        <w:t xml:space="preserve"> </w:t>
      </w:r>
      <w:r>
        <w:t xml:space="preserve">‘minlength = 140’</w:t>
      </w:r>
      <w:r>
        <w:t xml:space="preserve"> </w:t>
      </w:r>
      <w:r>
        <w:t xml:space="preserve">for S. akabanensis</w:t>
      </w:r>
      <w:r>
        <w:t xml:space="preserve"> </w:t>
      </w:r>
      <w:r>
        <w:t xml:space="preserve">(Gaidatzis et al. 2015)</w:t>
      </w:r>
      <w:r>
        <w:t xml:space="preserve">. Minimum length was selected based on the length distributions observed with Sequali.</w:t>
      </w:r>
    </w:p>
    <w:p>
      <w:pPr>
        <w:pStyle w:val="BodyText"/>
      </w:pPr>
      <w:r>
        <w:rPr>
          <w:b/>
          <w:bCs/>
        </w:rPr>
        <w:t xml:space="preserve">Assembly</w:t>
      </w:r>
    </w:p>
    <w:p>
      <w:pPr>
        <w:pStyle w:val="BodyText"/>
      </w:pPr>
      <w:r>
        <w:t xml:space="preserve">The filtered reads were then assembled using Flye in a conda environment</w:t>
      </w:r>
      <w:r>
        <w:t xml:space="preserve"> </w:t>
      </w:r>
      <w:r>
        <w:t xml:space="preserve">(Kolmogorov et al. 2019)</w:t>
      </w:r>
      <w:r>
        <w:t xml:space="preserve">. The argument</w:t>
      </w:r>
      <w:r>
        <w:t xml:space="preserve"> </w:t>
      </w:r>
      <w:r>
        <w:t xml:space="preserve">‘–nano-hq’</w:t>
      </w:r>
      <w:r>
        <w:t xml:space="preserve"> </w:t>
      </w:r>
      <w:r>
        <w:t xml:space="preserve">for high quality reads was used, as well as the argument</w:t>
      </w:r>
      <w:r>
        <w:t xml:space="preserve"> </w:t>
      </w:r>
      <w:r>
        <w:t xml:space="preserve">‘–genome-size 14m’</w:t>
      </w:r>
      <w:r>
        <w:t xml:space="preserve">. 14 Mb was selected as this is the length of the reference genome for W. anomalus</w:t>
      </w:r>
      <w:r>
        <w:t xml:space="preserve"> </w:t>
      </w:r>
      <w:r>
        <w:t xml:space="preserve">(Riley et al. 2016)</w:t>
      </w:r>
      <w:r>
        <w:t xml:space="preserve">. As no reference genome for S. akabanensis exists, other species of the genus including Sungouiella thailandica, Sungouiella blattae and Sungouiella intermedia were consulted</w:t>
      </w:r>
      <w:r>
        <w:t xml:space="preserve"> </w:t>
      </w:r>
      <w:r>
        <w:t xml:space="preserve">Shen et al. (2018)</w:t>
      </w:r>
      <w:r>
        <w:t xml:space="preserve">. Since a range of 10 to 16 Mb was observed the same value of 14 Mb was chosen .</w:t>
      </w:r>
    </w:p>
    <w:p>
      <w:pPr>
        <w:pStyle w:val="BodyText"/>
      </w:pPr>
      <w:r>
        <w:rPr>
          <w:b/>
          <w:bCs/>
        </w:rPr>
        <w:t xml:space="preserve">Evaluation</w:t>
      </w:r>
    </w:p>
    <w:p>
      <w:pPr>
        <w:pStyle w:val="BodyText"/>
      </w:pPr>
      <w:r>
        <w:t xml:space="preserve">Initial evaluation of the assembled genomes was performed using BUSCO through docker</w:t>
      </w:r>
      <w:r>
        <w:t xml:space="preserve"> </w:t>
      </w:r>
      <w:r>
        <w:t xml:space="preserve">(Simão et al. 2015)</w:t>
      </w:r>
      <w:r>
        <w:t xml:space="preserve">, with the arguments</w:t>
      </w:r>
      <w:r>
        <w:t xml:space="preserve"> </w:t>
      </w:r>
      <w:r>
        <w:t xml:space="preserve">‘-l saccharomycetaceae_odb12 -m genome -c 8’</w:t>
      </w:r>
      <w:r>
        <w:t xml:space="preserve">. The saccharomycetaceae lineage was chosen as this was the closest relative of the yeasts found in the busco dataset. The genome mode was selected as the data is genomic, and 8 cores were specified as per the computer used. Further evaluation of the W. anomalus assembly was performed using QUAST through Docker with the arguments ‘ –fungus -r GCF_001661255.1_Wican1_genomic.fna -g GCF_001661255.1_Wican1_genomic.gff’. The reference sequences and annotation file were obtained through NCBI RefSeq from the assembly</w:t>
      </w:r>
      <w:r>
        <w:t xml:space="preserve"> </w:t>
      </w:r>
      <w:r>
        <w:t xml:space="preserve">‘Wican1’</w:t>
      </w:r>
      <w:r>
        <w:t xml:space="preserve"> </w:t>
      </w:r>
      <w:r>
        <w:t xml:space="preserve">(Riley et al. 2016)</w:t>
      </w:r>
      <w:r>
        <w:t xml:space="preserve">. No QUAST was performed on the S. akabanensis assembly as no reference genome exists.</w:t>
      </w:r>
    </w:p>
    <w:p>
      <w:pPr>
        <w:pStyle w:val="BodyText"/>
      </w:pPr>
      <w:r>
        <w:rPr>
          <w:b/>
          <w:bCs/>
        </w:rPr>
        <w:t xml:space="preserve">Gene prediction and annotation</w:t>
      </w:r>
    </w:p>
    <w:p>
      <w:pPr>
        <w:pStyle w:val="BodyText"/>
      </w:pPr>
      <w:r>
        <w:t xml:space="preserve">Gene prediction and annotation was performed with funannotate through docker (tag latest, updated July 2025)</w:t>
      </w:r>
      <w:r>
        <w:t xml:space="preserve"> </w:t>
      </w:r>
      <w:r>
        <w:t xml:space="preserve">Merkel (2014)</w:t>
      </w:r>
      <w:r>
        <w:t xml:space="preserve"> </w:t>
      </w:r>
      <w:r>
        <w:t xml:space="preserve">and the eggNOG-mapper v2 online tool</w:t>
      </w:r>
      <w:r>
        <w:t xml:space="preserve"> </w:t>
      </w:r>
      <w:r>
        <w:t xml:space="preserve">(Cantalapiedra et al. 2021; Huerta-Cepas et al. 2019)</w:t>
      </w:r>
      <w:r>
        <w:t xml:space="preserve">. First the assemblies were repeat masked using funannotate mask with default arguments. Next, genes were predicted using funannotate predict with default arguments. The output predicted proteins fasta file was then submitted to eggNOG-mapper for annotation. EggNOG-mapper annotation files in xlsx format were obtained and passed for analysis.</w:t>
      </w:r>
    </w:p>
    <w:p>
      <w:pPr>
        <w:pStyle w:val="BodyText"/>
      </w:pPr>
      <w:r>
        <w:rPr>
          <w:b/>
          <w:bCs/>
        </w:rPr>
        <w:t xml:space="preserve">Analysis</w:t>
      </w:r>
    </w:p>
    <w:p>
      <w:pPr>
        <w:pStyle w:val="BodyText"/>
      </w:pPr>
      <w:r>
        <w:t xml:space="preserve">Annotation tables from eggNOG-mapper were read into R using the read_excel function from the package readxl 1.4.5</w:t>
      </w:r>
      <w:r>
        <w:t xml:space="preserve"> </w:t>
      </w:r>
      <w:r>
        <w:t xml:space="preserve">(Wickham and Bryan 2025)</w:t>
      </w:r>
      <w:r>
        <w:t xml:space="preserve">. Using the R packages Go.db 3.22.0 and AnnotationDbi 1.72.0</w:t>
      </w:r>
      <w:r>
        <w:t xml:space="preserve"> </w:t>
      </w:r>
      <w:r>
        <w:t xml:space="preserve">(Carlson 2024; Pagès et al. 2024)</w:t>
      </w:r>
      <w:r>
        <w:t xml:space="preserve">, gene ontology numbers were mapped to their associated terms and ontology categories for ease of analysis</w:t>
      </w:r>
      <w:r>
        <w:t xml:space="preserve"> </w:t>
      </w:r>
      <w:r>
        <w:t xml:space="preserve">(Ashburner et al. 2000; The Gene Ontology Consortium et al. 2023)</w:t>
      </w:r>
      <w:r>
        <w:t xml:space="preserve">. A map of COG letters to their associated category was constructed and used to transform the COG_category column of the dataset</w:t>
      </w:r>
      <w:r>
        <w:t xml:space="preserve"> </w:t>
      </w:r>
      <w:r>
        <w:t xml:space="preserve">(Galperin et al. 2024)</w:t>
      </w:r>
      <w:r>
        <w:t xml:space="preserve">. A list of genes related to xenobiotic metabolism and metal uptake was constructed with reference to the available literature</w:t>
      </w:r>
      <w:r>
        <w:t xml:space="preserve"> </w:t>
      </w:r>
      <w:r>
        <w:t xml:space="preserve">(Khan et al. 2023; Sun, Reynolds, and Belcher 2019)</w:t>
      </w:r>
      <w:r>
        <w:t xml:space="preserve"> </w:t>
      </w:r>
      <w:r>
        <w:t xml:space="preserve">and used to parse the dataset. Plots were generated using ggplot2 4.0.1</w:t>
      </w:r>
      <w:r>
        <w:t xml:space="preserve"> </w:t>
      </w:r>
      <w:r>
        <w:t xml:space="preserve">(Wickham 2016)</w:t>
      </w:r>
      <w:r>
        <w:t xml:space="preserve">.</w:t>
      </w:r>
    </w:p>
    <w:p>
      <w:pPr>
        <w:pStyle w:val="BodyText"/>
      </w:pPr>
      <w:r>
        <w:rPr>
          <w:b/>
          <w:bCs/>
        </w:rPr>
        <w:t xml:space="preserve">Results / Discussion</w:t>
      </w:r>
    </w:p>
    <w:p>
      <w:pPr>
        <w:pStyle w:val="BodyText"/>
      </w:pPr>
      <w:r>
        <w:t xml:space="preserve">Note that only code for the Wickerhamomyces anomalus run is shown, but the same workflow was followed for both strains. Results of both strains are discussed.</w:t>
      </w:r>
    </w:p>
    <w:p>
      <w:pPr>
        <w:pStyle w:val="BodyText"/>
      </w:pPr>
      <w:r>
        <w:rPr>
          <w:b/>
          <w:bCs/>
        </w:rPr>
        <w:t xml:space="preserve">Initial QC</w:t>
      </w:r>
      <w:r>
        <w:t xml:space="preserve"> </w:t>
      </w:r>
      <w:r>
        <w:t xml:space="preserve">- Sequali</w:t>
      </w:r>
    </w:p>
    <w:p>
      <w:pPr>
        <w:pStyle w:val="SourceCode"/>
      </w:pPr>
      <w:r>
        <w:rPr>
          <w:rStyle w:val="ExtensionTok"/>
        </w:rPr>
        <w:t xml:space="preserve">conda</w:t>
      </w:r>
      <w:r>
        <w:rPr>
          <w:rStyle w:val="NormalTok"/>
        </w:rPr>
        <w:t xml:space="preserve"> activate sequali-env</w:t>
      </w:r>
      <w:r>
        <w:br/>
      </w:r>
      <w:r>
        <w:rPr>
          <w:rStyle w:val="ExtensionTok"/>
        </w:rPr>
        <w:t xml:space="preserve">sequali</w:t>
      </w:r>
      <w:r>
        <w:rPr>
          <w:rStyle w:val="NormalTok"/>
        </w:rPr>
        <w:t xml:space="preserve"> </w:t>
      </w:r>
      <w:r>
        <w:rPr>
          <w:rStyle w:val="AttributeTok"/>
        </w:rPr>
        <w:t xml:space="preserve">--outdir</w:t>
      </w:r>
      <w:r>
        <w:rPr>
          <w:rStyle w:val="NormalTok"/>
        </w:rPr>
        <w:t xml:space="preserve"> sequali_reports/ wickerhamomycesAnomalus.fastq</w:t>
      </w:r>
    </w:p>
    <w:p>
      <w:pPr>
        <w:pStyle w:val="FirstParagraph"/>
      </w:pPr>
      <w:r>
        <w:rPr>
          <w:b/>
          <w:bCs/>
        </w:rPr>
        <w:t xml:space="preserve">Filtering</w:t>
      </w:r>
      <w:r>
        <w:t xml:space="preserve"> </w:t>
      </w:r>
      <w:r>
        <w:t xml:space="preserve">- QuasR</w:t>
      </w:r>
    </w:p>
    <w:p>
      <w:pPr>
        <w:pStyle w:val="SourceCode"/>
      </w:pPr>
      <w:r>
        <w:rPr>
          <w:rStyle w:val="FunctionTok"/>
        </w:rPr>
        <w:t xml:space="preserve">library</w:t>
      </w:r>
      <w:r>
        <w:rPr>
          <w:rStyle w:val="NormalTok"/>
        </w:rPr>
        <w:t xml:space="preserve">(QuasR)</w:t>
      </w:r>
      <w:r>
        <w:br/>
      </w:r>
      <w:r>
        <w:rPr>
          <w:rStyle w:val="NormalTok"/>
        </w:rPr>
        <w:t xml:space="preserve">outfiles </w:t>
      </w:r>
      <w:r>
        <w:rPr>
          <w:rStyle w:val="OtherTok"/>
        </w:rPr>
        <w:t xml:space="preserve">&lt;-</w:t>
      </w:r>
      <w:r>
        <w:rPr>
          <w:rStyle w:val="NormalTok"/>
        </w:rPr>
        <w:t xml:space="preserve"> </w:t>
      </w:r>
      <w:r>
        <w:rPr>
          <w:rStyle w:val="StringTok"/>
        </w:rPr>
        <w:t xml:space="preserve">'~/above100bp.fastq'</w:t>
      </w:r>
      <w:r>
        <w:br/>
      </w:r>
      <w:r>
        <w:rPr>
          <w:rStyle w:val="FunctionTok"/>
        </w:rPr>
        <w:t xml:space="preserve">preprocessReads</w:t>
      </w:r>
      <w:r>
        <w:rPr>
          <w:rStyle w:val="NormalTok"/>
        </w:rPr>
        <w:t xml:space="preserve">(</w:t>
      </w:r>
      <w:r>
        <w:rPr>
          <w:rStyle w:val="StringTok"/>
        </w:rPr>
        <w:t xml:space="preserve">'~/wickerhamomycesAnomalus.fastq'</w:t>
      </w:r>
      <w:r>
        <w:rPr>
          <w:rStyle w:val="NormalTok"/>
        </w:rPr>
        <w:t xml:space="preserve">, outfiles, </w:t>
      </w:r>
      <w:r>
        <w:rPr>
          <w:rStyle w:val="AttributeTok"/>
        </w:rPr>
        <w:t xml:space="preserve">minLength =</w:t>
      </w:r>
      <w:r>
        <w:rPr>
          <w:rStyle w:val="NormalTok"/>
        </w:rPr>
        <w:t xml:space="preserve"> </w:t>
      </w:r>
      <w:r>
        <w:rPr>
          <w:rStyle w:val="DecValTok"/>
        </w:rPr>
        <w:t xml:space="preserve">100</w:t>
      </w:r>
      <w:r>
        <w:rPr>
          <w:rStyle w:val="NormalTok"/>
        </w:rPr>
        <w:t xml:space="preserve">)</w:t>
      </w:r>
    </w:p>
    <w:p>
      <w:pPr>
        <w:pStyle w:val="FirstParagraph"/>
      </w:pPr>
      <w:r>
        <w:rPr>
          <w:b/>
          <w:bCs/>
        </w:rPr>
        <w:t xml:space="preserve">Assembly</w:t>
      </w:r>
      <w:r>
        <w:t xml:space="preserve"> </w:t>
      </w:r>
      <w:r>
        <w:t xml:space="preserve">- Flye</w:t>
      </w:r>
    </w:p>
    <w:p>
      <w:pPr>
        <w:pStyle w:val="SourceCode"/>
      </w:pPr>
      <w:r>
        <w:rPr>
          <w:rStyle w:val="ExtensionTok"/>
        </w:rPr>
        <w:t xml:space="preserve">conda</w:t>
      </w:r>
      <w:r>
        <w:rPr>
          <w:rStyle w:val="NormalTok"/>
        </w:rPr>
        <w:t xml:space="preserve"> activate fly-env</w:t>
      </w:r>
      <w:r>
        <w:br/>
      </w:r>
      <w:r>
        <w:rPr>
          <w:rStyle w:val="ExtensionTok"/>
        </w:rPr>
        <w:t xml:space="preserve">flye</w:t>
      </w:r>
      <w:r>
        <w:rPr>
          <w:rStyle w:val="NormalTok"/>
        </w:rPr>
        <w:t xml:space="preserve"> </w:t>
      </w:r>
      <w:r>
        <w:rPr>
          <w:rStyle w:val="AttributeTok"/>
        </w:rPr>
        <w:t xml:space="preserve">--nano-hq</w:t>
      </w:r>
      <w:r>
        <w:rPr>
          <w:rStyle w:val="NormalTok"/>
        </w:rPr>
        <w:t xml:space="preserve"> above100bp.fastq </w:t>
      </w:r>
      <w:r>
        <w:rPr>
          <w:rStyle w:val="AttributeTok"/>
        </w:rPr>
        <w:t xml:space="preserve">--out-dir</w:t>
      </w:r>
      <w:r>
        <w:rPr>
          <w:rStyle w:val="NormalTok"/>
        </w:rPr>
        <w:t xml:space="preserve"> flye/ </w:t>
      </w:r>
      <w:r>
        <w:rPr>
          <w:rStyle w:val="AttributeTok"/>
        </w:rPr>
        <w:t xml:space="preserve">--threads</w:t>
      </w:r>
      <w:r>
        <w:rPr>
          <w:rStyle w:val="NormalTok"/>
        </w:rPr>
        <w:t xml:space="preserve"> 8 </w:t>
      </w:r>
      <w:r>
        <w:rPr>
          <w:rStyle w:val="AttributeTok"/>
        </w:rPr>
        <w:t xml:space="preserve">--genome-size</w:t>
      </w:r>
      <w:r>
        <w:rPr>
          <w:rStyle w:val="NormalTok"/>
        </w:rPr>
        <w:t xml:space="preserve"> 14m</w:t>
      </w:r>
    </w:p>
    <w:p>
      <w:pPr>
        <w:pStyle w:val="TableCaption"/>
      </w:pPr>
      <w:r>
        <w:t xml:space="preserve">Table 1. FLYE assembly statistics</w:t>
      </w:r>
    </w:p>
    <w:tbl>
      <w:tblPr>
        <w:tblStyle w:val="Table"/>
        <w:tblW w:type="auto" w:w="0"/>
        <w:tblLook w:firstRow="1" w:lastRow="0" w:firstColumn="0" w:lastColumn="0" w:noHBand="0" w:noVBand="0" w:val="0020"/>
        <w:tblCaption w:val="Table 1. FLYE assembly statistics"/>
      </w:tblPr>
      <w:tblGrid>
        <w:gridCol w:w="2640"/>
        <w:gridCol w:w="2640"/>
        <w:gridCol w:w="2640"/>
      </w:tblGrid>
      <w:tr>
        <w:trPr>
          <w:tblHeader w:val="on"/>
        </w:trPr>
        <w:tc>
          <w:tcPr/>
          <w:p>
            <w:pPr>
              <w:pStyle w:val="Compact"/>
              <w:jc w:val="left"/>
            </w:pPr>
            <w:r>
              <w:t xml:space="preserve">Metric</w:t>
            </w:r>
          </w:p>
        </w:tc>
        <w:tc>
          <w:tcPr/>
          <w:p>
            <w:pPr>
              <w:pStyle w:val="Compact"/>
              <w:jc w:val="right"/>
            </w:pPr>
            <w:r>
              <w:t xml:space="preserve">S_akabanensis</w:t>
            </w:r>
          </w:p>
        </w:tc>
        <w:tc>
          <w:tcPr/>
          <w:p>
            <w:pPr>
              <w:pStyle w:val="Compact"/>
              <w:jc w:val="right"/>
            </w:pPr>
            <w:r>
              <w:t xml:space="preserve">W_anomalus</w:t>
            </w:r>
          </w:p>
        </w:tc>
      </w:tr>
      <w:tr>
        <w:tc>
          <w:tcPr/>
          <w:p>
            <w:pPr>
              <w:pStyle w:val="Compact"/>
              <w:jc w:val="left"/>
            </w:pPr>
            <w:r>
              <w:t xml:space="preserve">Total length</w:t>
            </w:r>
          </w:p>
        </w:tc>
        <w:tc>
          <w:tcPr/>
          <w:p>
            <w:pPr>
              <w:pStyle w:val="Compact"/>
              <w:jc w:val="right"/>
            </w:pPr>
            <w:r>
              <w:t xml:space="preserve">1206445</w:t>
            </w:r>
          </w:p>
        </w:tc>
        <w:tc>
          <w:tcPr/>
          <w:p>
            <w:pPr>
              <w:pStyle w:val="Compact"/>
              <w:jc w:val="right"/>
            </w:pPr>
            <w:r>
              <w:t xml:space="preserve">13205329</w:t>
            </w:r>
          </w:p>
        </w:tc>
      </w:tr>
      <w:tr>
        <w:tc>
          <w:tcPr/>
          <w:p>
            <w:pPr>
              <w:pStyle w:val="Compact"/>
              <w:jc w:val="left"/>
            </w:pPr>
            <w:r>
              <w:t xml:space="preserve">Fragments</w:t>
            </w:r>
          </w:p>
        </w:tc>
        <w:tc>
          <w:tcPr/>
          <w:p>
            <w:pPr>
              <w:pStyle w:val="Compact"/>
              <w:jc w:val="right"/>
            </w:pPr>
            <w:r>
              <w:t xml:space="preserve">90</w:t>
            </w:r>
          </w:p>
        </w:tc>
        <w:tc>
          <w:tcPr/>
          <w:p>
            <w:pPr>
              <w:pStyle w:val="Compact"/>
              <w:jc w:val="right"/>
            </w:pPr>
            <w:r>
              <w:t xml:space="preserve">2025</w:t>
            </w:r>
          </w:p>
        </w:tc>
      </w:tr>
      <w:tr>
        <w:tc>
          <w:tcPr/>
          <w:p>
            <w:pPr>
              <w:pStyle w:val="Compact"/>
              <w:jc w:val="left"/>
            </w:pPr>
            <w:r>
              <w:t xml:space="preserve">Fragments N50</w:t>
            </w:r>
          </w:p>
        </w:tc>
        <w:tc>
          <w:tcPr/>
          <w:p>
            <w:pPr>
              <w:pStyle w:val="Compact"/>
              <w:jc w:val="right"/>
            </w:pPr>
            <w:r>
              <w:t xml:space="preserve">363453</w:t>
            </w:r>
          </w:p>
        </w:tc>
        <w:tc>
          <w:tcPr/>
          <w:p>
            <w:pPr>
              <w:pStyle w:val="Compact"/>
              <w:jc w:val="right"/>
            </w:pPr>
            <w:r>
              <w:t xml:space="preserve">9214</w:t>
            </w:r>
          </w:p>
        </w:tc>
      </w:tr>
      <w:tr>
        <w:tc>
          <w:tcPr/>
          <w:p>
            <w:pPr>
              <w:pStyle w:val="Compact"/>
              <w:jc w:val="left"/>
            </w:pPr>
            <w:r>
              <w:t xml:space="preserve">Largest fragment</w:t>
            </w:r>
          </w:p>
        </w:tc>
        <w:tc>
          <w:tcPr/>
          <w:p>
            <w:pPr>
              <w:pStyle w:val="Compact"/>
              <w:jc w:val="right"/>
            </w:pPr>
            <w:r>
              <w:t xml:space="preserve">815303</w:t>
            </w:r>
          </w:p>
        </w:tc>
        <w:tc>
          <w:tcPr/>
          <w:p>
            <w:pPr>
              <w:pStyle w:val="Compact"/>
              <w:jc w:val="right"/>
            </w:pPr>
            <w:r>
              <w:t xml:space="preserve">53218</w:t>
            </w:r>
          </w:p>
        </w:tc>
      </w:tr>
      <w:tr>
        <w:tc>
          <w:tcPr/>
          <w:p>
            <w:pPr>
              <w:pStyle w:val="Compact"/>
              <w:jc w:val="left"/>
            </w:pPr>
            <w:r>
              <w:t xml:space="preserve">Scaffolds</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Mean coverage</w:t>
            </w:r>
          </w:p>
        </w:tc>
        <w:tc>
          <w:tcPr/>
          <w:p>
            <w:pPr>
              <w:pStyle w:val="Compact"/>
              <w:jc w:val="right"/>
            </w:pPr>
            <w:r>
              <w:t xml:space="preserve">18</w:t>
            </w:r>
          </w:p>
        </w:tc>
        <w:tc>
          <w:tcPr/>
          <w:p>
            <w:pPr>
              <w:pStyle w:val="Compact"/>
              <w:jc w:val="right"/>
            </w:pPr>
            <w:r>
              <w:t xml:space="preserve">13</w:t>
            </w:r>
          </w:p>
        </w:tc>
      </w:tr>
    </w:tbl>
    <w:p>
      <w:pPr>
        <w:pStyle w:val="BodyText"/>
      </w:pPr>
      <w:r>
        <w:t xml:space="preserve">The S. akabanensis assembly shows good N50 and relatively low fragment count. The W. anomalus assembly is weaker but still acceptable. The coverage for both assemblies is less than the ideal of at least 30X</w:t>
      </w:r>
      <w:r>
        <w:t xml:space="preserve"> </w:t>
      </w:r>
      <w:r>
        <w:t xml:space="preserve">(Li and Harkess 2018)</w:t>
      </w:r>
      <w:r>
        <w:t xml:space="preserve">. This is to be expected given the small size of the dataset. The length of the W. anomalus assembly is comparable to the 14.1 Mb reference genome assembly WICAN1</w:t>
      </w:r>
      <w:r>
        <w:t xml:space="preserve"> </w:t>
      </w:r>
      <w:r>
        <w:t xml:space="preserve">(Riley et al. 2016)</w:t>
      </w:r>
      <w:r>
        <w:t xml:space="preserve">. There exists no reference genome with which to compare the S. akabanensis assembly.</w:t>
      </w:r>
    </w:p>
    <w:p>
      <w:pPr>
        <w:pStyle w:val="BodyText"/>
      </w:pPr>
      <w:r>
        <w:rPr>
          <w:b/>
          <w:bCs/>
        </w:rPr>
        <w:t xml:space="preserve">Assembly evaluation</w:t>
      </w:r>
      <w:r>
        <w:t xml:space="preserve"> </w:t>
      </w:r>
      <w:r>
        <w:t xml:space="preserve">- BUSCO</w:t>
      </w:r>
    </w:p>
    <w:p>
      <w:pPr>
        <w:pStyle w:val="SourceCode"/>
      </w:pP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DataTypeTok"/>
        </w:rPr>
        <w:t xml:space="preserve">\</w:t>
      </w:r>
      <w:r>
        <w:br/>
      </w:r>
      <w:r>
        <w:rPr>
          <w:rStyle w:val="NormalTok"/>
        </w:rPr>
        <w:t xml:space="preserve">-v </w:t>
      </w:r>
      <w:r>
        <w:rPr>
          <w:rStyle w:val="StringTok"/>
        </w:rPr>
        <w:t xml:space="preserve">"</w:t>
      </w:r>
      <w:r>
        <w:rPr>
          <w:rStyle w:val="VariableTok"/>
        </w:rPr>
        <w:t xml:space="preserve">$PWD</w:t>
      </w:r>
      <w:r>
        <w:rPr>
          <w:rStyle w:val="StringTok"/>
        </w:rPr>
        <w:t xml:space="preserve">"</w:t>
      </w:r>
      <w:r>
        <w:rPr>
          <w:rStyle w:val="NormalTok"/>
        </w:rPr>
        <w:t xml:space="preserve">:/data </w:t>
      </w:r>
      <w:r>
        <w:rPr>
          <w:rStyle w:val="DataTypeTok"/>
        </w:rPr>
        <w:t xml:space="preserve">\</w:t>
      </w:r>
      <w:r>
        <w:br/>
      </w:r>
      <w:r>
        <w:rPr>
          <w:rStyle w:val="NormalTok"/>
        </w:rPr>
        <w:t xml:space="preserve">-w /data </w:t>
      </w:r>
      <w:r>
        <w:rPr>
          <w:rStyle w:val="DataTypeTok"/>
        </w:rPr>
        <w:t xml:space="preserve">\</w:t>
      </w:r>
      <w:r>
        <w:br/>
      </w:r>
      <w:r>
        <w:rPr>
          <w:rStyle w:val="NormalTok"/>
        </w:rPr>
        <w:t xml:space="preserve">ezlabgva/busco:v6.0.0_cv1 </w:t>
      </w:r>
      <w:r>
        <w:rPr>
          <w:rStyle w:val="DataTypeTok"/>
        </w:rPr>
        <w:t xml:space="preserve">\</w:t>
      </w:r>
      <w:r>
        <w:br/>
      </w:r>
      <w:r>
        <w:rPr>
          <w:rStyle w:val="NormalTok"/>
        </w:rPr>
        <w:t xml:space="preserve">busco </w:t>
      </w:r>
      <w:r>
        <w:rPr>
          <w:rStyle w:val="AttributeTok"/>
        </w:rPr>
        <w:t xml:space="preserve">-i</w:t>
      </w:r>
      <w:r>
        <w:rPr>
          <w:rStyle w:val="NormalTok"/>
        </w:rPr>
        <w:t xml:space="preserve"> flye/assembly.fasta </w:t>
      </w:r>
      <w:r>
        <w:rPr>
          <w:rStyle w:val="AttributeTok"/>
        </w:rPr>
        <w:t xml:space="preserve">-o</w:t>
      </w:r>
      <w:r>
        <w:rPr>
          <w:rStyle w:val="NormalTok"/>
        </w:rPr>
        <w:t xml:space="preserve"> busco_output </w:t>
      </w:r>
      <w:r>
        <w:rPr>
          <w:rStyle w:val="AttributeTok"/>
        </w:rPr>
        <w:t xml:space="preserve">-l</w:t>
      </w:r>
      <w:r>
        <w:rPr>
          <w:rStyle w:val="NormalTok"/>
        </w:rPr>
        <w:t xml:space="preserve"> saccharomycetaceae_odb12 </w:t>
      </w:r>
      <w:r>
        <w:rPr>
          <w:rStyle w:val="AttributeTok"/>
        </w:rPr>
        <w:t xml:space="preserve">-m</w:t>
      </w:r>
      <w:r>
        <w:rPr>
          <w:rStyle w:val="NormalTok"/>
        </w:rPr>
        <w:t xml:space="preserve"> genome </w:t>
      </w:r>
      <w:r>
        <w:rPr>
          <w:rStyle w:val="AttributeTok"/>
        </w:rPr>
        <w:t xml:space="preserve">-c</w:t>
      </w:r>
      <w:r>
        <w:rPr>
          <w:rStyle w:val="NormalTok"/>
        </w:rPr>
        <w:t xml:space="preserve"> 8</w:t>
      </w:r>
    </w:p>
    <w:p>
      <w:pPr>
        <w:pStyle w:val="TableCaption"/>
      </w:pPr>
      <w:r>
        <w:t xml:space="preserve">Table 2. BUSCO results</w:t>
      </w:r>
    </w:p>
    <w:tbl>
      <w:tblPr>
        <w:tblStyle w:val="Table"/>
        <w:tblW w:type="auto" w:w="0"/>
        <w:tblLook w:firstRow="1" w:lastRow="0" w:firstColumn="0" w:lastColumn="0" w:noHBand="0" w:noVBand="0" w:val="0020"/>
        <w:tblCaption w:val="Table 2. BUSCO results"/>
      </w:tblPr>
      <w:tblGrid>
        <w:gridCol w:w="2640"/>
        <w:gridCol w:w="2640"/>
        <w:gridCol w:w="2640"/>
      </w:tblGrid>
      <w:tr>
        <w:trPr>
          <w:tblHeader w:val="on"/>
        </w:trPr>
        <w:tc>
          <w:tcPr/>
          <w:p>
            <w:pPr>
              <w:pStyle w:val="Compact"/>
              <w:jc w:val="left"/>
            </w:pPr>
            <w:r>
              <w:t xml:space="preserve">Metric</w:t>
            </w:r>
          </w:p>
        </w:tc>
        <w:tc>
          <w:tcPr/>
          <w:p>
            <w:pPr>
              <w:pStyle w:val="Compact"/>
              <w:jc w:val="right"/>
            </w:pPr>
            <w:r>
              <w:t xml:space="preserve">W_anomalus</w:t>
            </w:r>
          </w:p>
        </w:tc>
        <w:tc>
          <w:tcPr/>
          <w:p>
            <w:pPr>
              <w:pStyle w:val="Compact"/>
              <w:jc w:val="right"/>
            </w:pPr>
            <w:r>
              <w:t xml:space="preserve">S_akabanensis</w:t>
            </w:r>
          </w:p>
        </w:tc>
      </w:tr>
      <w:tr>
        <w:tc>
          <w:tcPr/>
          <w:p>
            <w:pPr>
              <w:pStyle w:val="Compact"/>
              <w:jc w:val="left"/>
            </w:pPr>
            <w:r>
              <w:t xml:space="preserve">Complete BUSCOs (C)</w:t>
            </w:r>
          </w:p>
        </w:tc>
        <w:tc>
          <w:tcPr/>
          <w:p>
            <w:pPr>
              <w:pStyle w:val="Compact"/>
              <w:jc w:val="right"/>
            </w:pPr>
            <w:r>
              <w:t xml:space="preserve">1,634 (49.8%)</w:t>
            </w:r>
          </w:p>
        </w:tc>
        <w:tc>
          <w:tcPr/>
          <w:p>
            <w:pPr>
              <w:pStyle w:val="Compact"/>
              <w:jc w:val="right"/>
            </w:pPr>
            <w:r>
              <w:t xml:space="preserve">1,424 (43.4%)</w:t>
            </w:r>
          </w:p>
        </w:tc>
      </w:tr>
      <w:tr>
        <w:tc>
          <w:tcPr/>
          <w:p>
            <w:pPr>
              <w:pStyle w:val="Compact"/>
              <w:jc w:val="left"/>
            </w:pPr>
            <w:r>
              <w:t xml:space="preserve">Complete and single-copy (S)</w:t>
            </w:r>
          </w:p>
        </w:tc>
        <w:tc>
          <w:tcPr/>
          <w:p>
            <w:pPr>
              <w:pStyle w:val="Compact"/>
              <w:jc w:val="right"/>
            </w:pPr>
            <w:r>
              <w:t xml:space="preserve">1,610 (49.1%)</w:t>
            </w:r>
          </w:p>
        </w:tc>
        <w:tc>
          <w:tcPr/>
          <w:p>
            <w:pPr>
              <w:pStyle w:val="Compact"/>
              <w:jc w:val="right"/>
            </w:pPr>
            <w:r>
              <w:t xml:space="preserve">1,408 (42.9%)</w:t>
            </w:r>
          </w:p>
        </w:tc>
      </w:tr>
      <w:tr>
        <w:tc>
          <w:tcPr/>
          <w:p>
            <w:pPr>
              <w:pStyle w:val="Compact"/>
              <w:jc w:val="left"/>
            </w:pPr>
            <w:r>
              <w:t xml:space="preserve">Complete and duplicated (D)</w:t>
            </w:r>
          </w:p>
        </w:tc>
        <w:tc>
          <w:tcPr/>
          <w:p>
            <w:pPr>
              <w:pStyle w:val="Compact"/>
              <w:jc w:val="right"/>
            </w:pPr>
            <w:r>
              <w:t xml:space="preserve">24 (0.7%)</w:t>
            </w:r>
          </w:p>
        </w:tc>
        <w:tc>
          <w:tcPr/>
          <w:p>
            <w:pPr>
              <w:pStyle w:val="Compact"/>
              <w:jc w:val="right"/>
            </w:pPr>
            <w:r>
              <w:t xml:space="preserve">16 (0.5%)</w:t>
            </w:r>
          </w:p>
        </w:tc>
      </w:tr>
      <w:tr>
        <w:tc>
          <w:tcPr/>
          <w:p>
            <w:pPr>
              <w:pStyle w:val="Compact"/>
              <w:jc w:val="left"/>
            </w:pPr>
            <w:r>
              <w:t xml:space="preserve">Fragmented BUSCOs (F)</w:t>
            </w:r>
          </w:p>
        </w:tc>
        <w:tc>
          <w:tcPr/>
          <w:p>
            <w:pPr>
              <w:pStyle w:val="Compact"/>
              <w:jc w:val="right"/>
            </w:pPr>
            <w:r>
              <w:t xml:space="preserve">88 (2.7%)</w:t>
            </w:r>
          </w:p>
        </w:tc>
        <w:tc>
          <w:tcPr/>
          <w:p>
            <w:pPr>
              <w:pStyle w:val="Compact"/>
              <w:jc w:val="right"/>
            </w:pPr>
            <w:r>
              <w:t xml:space="preserve">53 (1.6%)</w:t>
            </w:r>
          </w:p>
        </w:tc>
      </w:tr>
      <w:tr>
        <w:tc>
          <w:tcPr/>
          <w:p>
            <w:pPr>
              <w:pStyle w:val="Compact"/>
              <w:jc w:val="left"/>
            </w:pPr>
            <w:r>
              <w:t xml:space="preserve">Missing BUSCOs (M)</w:t>
            </w:r>
          </w:p>
        </w:tc>
        <w:tc>
          <w:tcPr/>
          <w:p>
            <w:pPr>
              <w:pStyle w:val="Compact"/>
              <w:jc w:val="right"/>
            </w:pPr>
            <w:r>
              <w:t xml:space="preserve">1,560 (47.5%)</w:t>
            </w:r>
          </w:p>
        </w:tc>
        <w:tc>
          <w:tcPr/>
          <w:p>
            <w:pPr>
              <w:pStyle w:val="Compact"/>
              <w:jc w:val="right"/>
            </w:pPr>
            <w:r>
              <w:t xml:space="preserve">1,805 (55.0%)</w:t>
            </w:r>
          </w:p>
        </w:tc>
      </w:tr>
      <w:tr>
        <w:tc>
          <w:tcPr/>
          <w:p>
            <w:pPr>
              <w:pStyle w:val="Compact"/>
              <w:jc w:val="left"/>
            </w:pPr>
            <w:r>
              <w:t xml:space="preserve">Total BUSCO groups searched</w:t>
            </w:r>
          </w:p>
        </w:tc>
        <w:tc>
          <w:tcPr/>
          <w:p>
            <w:pPr>
              <w:pStyle w:val="Compact"/>
              <w:jc w:val="right"/>
            </w:pPr>
            <w:r>
              <w:t xml:space="preserve">3,282</w:t>
            </w:r>
          </w:p>
        </w:tc>
        <w:tc>
          <w:tcPr/>
          <w:p>
            <w:pPr>
              <w:pStyle w:val="Compact"/>
              <w:jc w:val="right"/>
            </w:pPr>
            <w:r>
              <w:t xml:space="preserve">3,282</w:t>
            </w:r>
          </w:p>
        </w:tc>
      </w:tr>
    </w:tbl>
    <w:p>
      <w:pPr>
        <w:pStyle w:val="BodyText"/>
      </w:pPr>
      <w:r>
        <w:t xml:space="preserve">The complete BUSCOs are much lower than desired, but this may not reflect the true quality of the assembly. Yeasts have high intra and inter-species diversity</w:t>
      </w:r>
      <w:r>
        <w:t xml:space="preserve"> </w:t>
      </w:r>
      <w:r>
        <w:t xml:space="preserve">(Loegler et al. 2025)</w:t>
      </w:r>
      <w:r>
        <w:t xml:space="preserve">, and this diversity might not be captured in the BUSCO dataset. On the other hand, the low completeness may be simply due to insufficient data leading to a poor assembly.</w:t>
      </w:r>
    </w:p>
    <w:p>
      <w:pPr>
        <w:pStyle w:val="BodyText"/>
      </w:pPr>
      <w:r>
        <w:rPr>
          <w:b/>
          <w:bCs/>
        </w:rPr>
        <w:t xml:space="preserve">Assembly evaluation</w:t>
      </w:r>
      <w:r>
        <w:t xml:space="preserve"> </w:t>
      </w:r>
      <w:r>
        <w:t xml:space="preserve">- QUAST</w:t>
      </w:r>
    </w:p>
    <w:p>
      <w:pPr>
        <w:pStyle w:val="SourceCode"/>
      </w:pP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-v</w:t>
      </w:r>
      <w:r>
        <w:rPr>
          <w:rStyle w:val="NormalTok"/>
        </w:rPr>
        <w:t xml:space="preserve"> </w:t>
      </w:r>
      <w:r>
        <w:rPr>
          <w:rStyle w:val="StringTok"/>
        </w:rPr>
        <w:t xml:space="preserve">"</w:t>
      </w:r>
      <w:r>
        <w:rPr>
          <w:rStyle w:val="VariableTok"/>
        </w:rPr>
        <w:t xml:space="preserve">$(</w:t>
      </w:r>
      <w:r>
        <w:rPr>
          <w:rStyle w:val="BuiltInTok"/>
        </w:rPr>
        <w:t xml:space="preserve">pwd</w:t>
      </w:r>
      <w:r>
        <w:rPr>
          <w:rStyle w:val="VariableTok"/>
        </w:rPr>
        <w:t xml:space="preserve">)</w:t>
      </w:r>
      <w:r>
        <w:rPr>
          <w:rStyle w:val="StringTok"/>
        </w:rPr>
        <w:t xml:space="preserve">"</w:t>
      </w:r>
      <w:r>
        <w:rPr>
          <w:rStyle w:val="NormalTok"/>
        </w:rPr>
        <w:t xml:space="preserve">:/data </w:t>
      </w:r>
      <w:r>
        <w:rPr>
          <w:rStyle w:val="AttributeTok"/>
        </w:rPr>
        <w:t xml:space="preserve">-w</w:t>
      </w:r>
      <w:r>
        <w:rPr>
          <w:rStyle w:val="NormalTok"/>
        </w:rPr>
        <w:t xml:space="preserve"> /data quay.io/biocontainers/quast:5.3.0--py313pl5321h5ca1c30_2 </w:t>
      </w:r>
      <w:r>
        <w:rPr>
          <w:rStyle w:val="DataTypeTok"/>
        </w:rPr>
        <w:t xml:space="preserve">\</w:t>
      </w:r>
      <w:r>
        <w:br/>
      </w:r>
      <w:r>
        <w:rPr>
          <w:rStyle w:val="NormalTok"/>
        </w:rPr>
        <w:t xml:space="preserve">quast.py /data/flye/assembly.fasta </w:t>
      </w:r>
      <w:r>
        <w:rPr>
          <w:rStyle w:val="DataTypeTok"/>
        </w:rPr>
        <w:t xml:space="preserve">\</w:t>
      </w:r>
      <w:r>
        <w:br/>
      </w:r>
      <w:r>
        <w:rPr>
          <w:rStyle w:val="NormalTok"/>
        </w:rPr>
        <w:t xml:space="preserve">--fungus </w:t>
      </w:r>
      <w:r>
        <w:rPr>
          <w:rStyle w:val="DataTypeTok"/>
        </w:rPr>
        <w:t xml:space="preserve">\</w:t>
      </w:r>
      <w:r>
        <w:br/>
      </w:r>
      <w:r>
        <w:rPr>
          <w:rStyle w:val="NormalTok"/>
        </w:rPr>
        <w:t xml:space="preserve">-r /data/referenceData/GCA_900106115.1_CBS_141442_assembly_genomic.fna </w:t>
      </w:r>
      <w:r>
        <w:rPr>
          <w:rStyle w:val="DataTypeTok"/>
        </w:rPr>
        <w:t xml:space="preserve">\</w:t>
      </w:r>
      <w:r>
        <w:br/>
      </w:r>
      <w:r>
        <w:rPr>
          <w:rStyle w:val="NormalTok"/>
        </w:rPr>
        <w:t xml:space="preserve">-g /data/referenceData/GCA_900106115.1_CBS_141442_assembly_genomic.gff </w:t>
      </w:r>
      <w:r>
        <w:rPr>
          <w:rStyle w:val="DataTypeTok"/>
        </w:rPr>
        <w:t xml:space="preserve">\</w:t>
      </w:r>
      <w:r>
        <w:br/>
      </w:r>
      <w:r>
        <w:rPr>
          <w:rStyle w:val="NormalTok"/>
        </w:rPr>
        <w:t xml:space="preserve">-o quast_output</w:t>
      </w:r>
    </w:p>
    <w:p>
      <w:pPr>
        <w:pStyle w:val="TableCaption"/>
      </w:pPr>
      <w:r>
        <w:t xml:space="preserve">Table 3. Selected QUAST results</w:t>
      </w:r>
    </w:p>
    <w:tbl>
      <w:tblPr>
        <w:tblStyle w:val="Table"/>
        <w:tblW w:type="auto" w:w="0"/>
        <w:tblLook w:firstRow="1" w:lastRow="0" w:firstColumn="0" w:lastColumn="0" w:noHBand="0" w:noVBand="0" w:val="0020"/>
        <w:tblCaption w:val="Table 3. Selected QUAST results"/>
      </w:tblPr>
      <w:tblGrid>
        <w:gridCol w:w="3960"/>
        <w:gridCol w:w="3960"/>
      </w:tblGrid>
      <w:tr>
        <w:trPr>
          <w:tblHeader w:val="on"/>
        </w:trPr>
        <w:tc>
          <w:tcPr/>
          <w:p>
            <w:pPr>
              <w:pStyle w:val="Compact"/>
              <w:jc w:val="left"/>
            </w:pPr>
            <w:r>
              <w:t xml:space="preserve">Metric</w:t>
            </w:r>
          </w:p>
        </w:tc>
        <w:tc>
          <w:tcPr/>
          <w:p>
            <w:pPr>
              <w:pStyle w:val="Compact"/>
              <w:jc w:val="right"/>
            </w:pPr>
            <w:r>
              <w:t xml:space="preserve">W_anomalus</w:t>
            </w:r>
          </w:p>
        </w:tc>
      </w:tr>
      <w:tr>
        <w:tc>
          <w:tcPr/>
          <w:p>
            <w:pPr>
              <w:pStyle w:val="Compact"/>
              <w:jc w:val="left"/>
            </w:pPr>
            <w:r>
              <w:t xml:space="preserve">Genome Fraction (%)</w:t>
            </w:r>
          </w:p>
        </w:tc>
        <w:tc>
          <w:tcPr/>
          <w:p>
            <w:pPr>
              <w:pStyle w:val="Compact"/>
              <w:jc w:val="right"/>
            </w:pPr>
            <w:r>
              <w:t xml:space="preserve">76.493</w:t>
            </w:r>
          </w:p>
        </w:tc>
      </w:tr>
      <w:tr>
        <w:tc>
          <w:tcPr/>
          <w:p>
            <w:pPr>
              <w:pStyle w:val="Compact"/>
              <w:jc w:val="left"/>
            </w:pPr>
            <w:r>
              <w:t xml:space="preserve"># misassemblies</w:t>
            </w:r>
          </w:p>
        </w:tc>
        <w:tc>
          <w:tcPr/>
          <w:p>
            <w:pPr>
              <w:pStyle w:val="Compact"/>
              <w:jc w:val="right"/>
            </w:pPr>
            <w:r>
              <w:t xml:space="preserve">214.000</w:t>
            </w:r>
          </w:p>
        </w:tc>
      </w:tr>
    </w:tbl>
    <w:p>
      <w:pPr>
        <w:pStyle w:val="BodyText"/>
      </w:pPr>
      <w:r>
        <w:t xml:space="preserve">The QUAST results show higher completeness than the BUSCO results. The high number of misassemblies could be due to the lower contiguity of the assembly. A perhaps less likely explanation is that these represent structural variants. Yeasts do exhibit high structural variance</w:t>
      </w:r>
      <w:r>
        <w:t xml:space="preserve"> </w:t>
      </w:r>
      <w:r>
        <w:t xml:space="preserve">(Loegler et al. 2025)</w:t>
      </w:r>
      <w:r>
        <w:t xml:space="preserve">, but the lower quality of the assembly points to error as the source. Note that QUAST could not be used for S. akabanensis as no reference genome is available.</w:t>
      </w:r>
    </w:p>
    <w:p>
      <w:pPr>
        <w:pStyle w:val="BodyText"/>
      </w:pPr>
      <w:r>
        <w:rPr>
          <w:b/>
          <w:bCs/>
        </w:rPr>
        <w:t xml:space="preserve">Gene Prediction</w:t>
      </w:r>
      <w:r>
        <w:t xml:space="preserve"> </w:t>
      </w:r>
      <w:r>
        <w:t xml:space="preserve">- Funannotate predict</w:t>
      </w:r>
    </w:p>
    <w:p>
      <w:pPr>
        <w:pStyle w:val="SourceCode"/>
      </w:pP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-v</w:t>
      </w:r>
      <w:r>
        <w:rPr>
          <w:rStyle w:val="NormalTok"/>
        </w:rPr>
        <w:t xml:space="preserve"> </w:t>
      </w:r>
      <w:r>
        <w:rPr>
          <w:rStyle w:val="StringTok"/>
        </w:rPr>
        <w:t xml:space="preserve">"</w:t>
      </w:r>
      <w:r>
        <w:rPr>
          <w:rStyle w:val="VariableTok"/>
        </w:rPr>
        <w:t xml:space="preserve">$PWD</w:t>
      </w:r>
      <w:r>
        <w:rPr>
          <w:rStyle w:val="StringTok"/>
        </w:rPr>
        <w:t xml:space="preserve">"</w:t>
      </w:r>
      <w:r>
        <w:rPr>
          <w:rStyle w:val="NormalTok"/>
        </w:rPr>
        <w:t xml:space="preserve">:/data </w:t>
      </w:r>
      <w:r>
        <w:rPr>
          <w:rStyle w:val="AttributeTok"/>
        </w:rPr>
        <w:t xml:space="preserve">-w</w:t>
      </w:r>
      <w:r>
        <w:rPr>
          <w:rStyle w:val="NormalTok"/>
        </w:rPr>
        <w:t xml:space="preserve"> /data </w:t>
      </w:r>
      <w:r>
        <w:rPr>
          <w:rStyle w:val="AttributeTok"/>
        </w:rPr>
        <w:t xml:space="preserve">--platform</w:t>
      </w:r>
      <w:r>
        <w:rPr>
          <w:rStyle w:val="NormalTok"/>
        </w:rPr>
        <w:t xml:space="preserve"> linux/amd64 nextgenusfs/funannotate funannotate mask </w:t>
      </w:r>
      <w:r>
        <w:rPr>
          <w:rStyle w:val="AttributeTok"/>
        </w:rPr>
        <w:t xml:space="preserve">-i</w:t>
      </w:r>
      <w:r>
        <w:rPr>
          <w:rStyle w:val="NormalTok"/>
        </w:rPr>
        <w:t xml:space="preserve"> flye/assembly.fasta </w:t>
      </w:r>
      <w:r>
        <w:rPr>
          <w:rStyle w:val="AttributeTok"/>
        </w:rPr>
        <w:t xml:space="preserve">-o</w:t>
      </w:r>
      <w:r>
        <w:rPr>
          <w:rStyle w:val="NormalTok"/>
        </w:rPr>
        <w:t xml:space="preserve"> masked_assembly.fasta  </w:t>
      </w:r>
      <w:r>
        <w:br/>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-v</w:t>
      </w:r>
      <w:r>
        <w:rPr>
          <w:rStyle w:val="NormalTok"/>
        </w:rPr>
        <w:t xml:space="preserve"> </w:t>
      </w:r>
      <w:r>
        <w:rPr>
          <w:rStyle w:val="StringTok"/>
        </w:rPr>
        <w:t xml:space="preserve">"</w:t>
      </w:r>
      <w:r>
        <w:rPr>
          <w:rStyle w:val="VariableTok"/>
        </w:rPr>
        <w:t xml:space="preserve">$PWD</w:t>
      </w:r>
      <w:r>
        <w:rPr>
          <w:rStyle w:val="StringTok"/>
        </w:rPr>
        <w:t xml:space="preserve">"</w:t>
      </w:r>
      <w:r>
        <w:rPr>
          <w:rStyle w:val="NormalTok"/>
        </w:rPr>
        <w:t xml:space="preserve">:/data </w:t>
      </w:r>
      <w:r>
        <w:rPr>
          <w:rStyle w:val="AttributeTok"/>
        </w:rPr>
        <w:t xml:space="preserve">-w</w:t>
      </w:r>
      <w:r>
        <w:rPr>
          <w:rStyle w:val="NormalTok"/>
        </w:rPr>
        <w:t xml:space="preserve"> /data </w:t>
      </w:r>
      <w:r>
        <w:rPr>
          <w:rStyle w:val="AttributeTok"/>
        </w:rPr>
        <w:t xml:space="preserve">--platform</w:t>
      </w:r>
      <w:r>
        <w:rPr>
          <w:rStyle w:val="NormalTok"/>
        </w:rPr>
        <w:t xml:space="preserve"> linux/amd64 nextgenusfs/funannotate funannotate predict </w:t>
      </w:r>
      <w:r>
        <w:rPr>
          <w:rStyle w:val="AttributeTok"/>
        </w:rPr>
        <w:t xml:space="preserve">-i</w:t>
      </w:r>
      <w:r>
        <w:rPr>
          <w:rStyle w:val="NormalTok"/>
        </w:rPr>
        <w:t xml:space="preserve"> masked_assembly.fasta </w:t>
      </w:r>
      <w:r>
        <w:rPr>
          <w:rStyle w:val="AttributeTok"/>
        </w:rPr>
        <w:t xml:space="preserve">-o</w:t>
      </w:r>
      <w:r>
        <w:rPr>
          <w:rStyle w:val="NormalTok"/>
        </w:rPr>
        <w:t xml:space="preserve"> /data/output </w:t>
      </w:r>
      <w:r>
        <w:rPr>
          <w:rStyle w:val="AttributeTok"/>
        </w:rPr>
        <w:t xml:space="preserve">-s</w:t>
      </w:r>
      <w:r>
        <w:rPr>
          <w:rStyle w:val="NormalTok"/>
        </w:rPr>
        <w:t xml:space="preserve"> </w:t>
      </w:r>
      <w:r>
        <w:rPr>
          <w:rStyle w:val="StringTok"/>
        </w:rPr>
        <w:t xml:space="preserve">'Wickerhamomyces anomalus'</w:t>
      </w:r>
    </w:p>
    <w:p>
      <w:pPr>
        <w:pStyle w:val="FirstParagraph"/>
      </w:pPr>
      <w:r>
        <w:rPr>
          <w:b/>
          <w:bCs/>
        </w:rPr>
        <w:t xml:space="preserve">Genome Annotation</w:t>
      </w:r>
      <w:r>
        <w:t xml:space="preserve"> </w:t>
      </w:r>
      <w:r>
        <w:t xml:space="preserve">- eggNOG-mapper</w:t>
      </w:r>
    </w:p>
    <w:p>
      <w:pPr>
        <w:pStyle w:val="BodyText"/>
      </w:pPr>
      <w:r>
        <w:t xml:space="preserve">Note that eggNOG-mapper was run via the online tool. The following code is the job command line.</w:t>
      </w:r>
    </w:p>
    <w:p>
      <w:pPr>
        <w:pStyle w:val="SourceCode"/>
      </w:pPr>
      <w:r>
        <w:rPr>
          <w:rStyle w:val="ExtensionTok"/>
        </w:rPr>
        <w:t xml:space="preserve">emapper.py</w:t>
      </w:r>
      <w:r>
        <w:rPr>
          <w:rStyle w:val="NormalTok"/>
        </w:rPr>
        <w:t xml:space="preserve"> </w:t>
      </w:r>
      <w:r>
        <w:rPr>
          <w:rStyle w:val="AttributeTok"/>
        </w:rPr>
        <w:t xml:space="preserve">--cpu</w:t>
      </w:r>
      <w:r>
        <w:rPr>
          <w:rStyle w:val="NormalTok"/>
        </w:rPr>
        <w:t xml:space="preserve"> 20 </w:t>
      </w:r>
      <w:r>
        <w:rPr>
          <w:rStyle w:val="AttributeTok"/>
        </w:rPr>
        <w:t xml:space="preserve">--mp_start_method</w:t>
      </w:r>
      <w:r>
        <w:rPr>
          <w:rStyle w:val="NormalTok"/>
        </w:rPr>
        <w:t xml:space="preserve"> forkserver </w:t>
      </w:r>
      <w:r>
        <w:rPr>
          <w:rStyle w:val="AttributeTok"/>
        </w:rPr>
        <w:t xml:space="preserve">--data_dir</w:t>
      </w:r>
      <w:r>
        <w:rPr>
          <w:rStyle w:val="NormalTok"/>
        </w:rPr>
        <w:t xml:space="preserve"> /dev/shm/ </w:t>
      </w:r>
      <w:r>
        <w:rPr>
          <w:rStyle w:val="AttributeTok"/>
        </w:rPr>
        <w:t xml:space="preserve">-o</w:t>
      </w:r>
      <w:r>
        <w:rPr>
          <w:rStyle w:val="NormalTok"/>
        </w:rPr>
        <w:t xml:space="preserve"> out </w:t>
      </w:r>
      <w:r>
        <w:rPr>
          <w:rStyle w:val="AttributeTok"/>
        </w:rPr>
        <w:t xml:space="preserve">--output_dir</w:t>
      </w:r>
      <w:r>
        <w:rPr>
          <w:rStyle w:val="NormalTok"/>
        </w:rPr>
        <w:t xml:space="preserve"> /emapper_web_jobs/emapper_jobs/user_data/MM_um3te_g6 </w:t>
      </w:r>
      <w:r>
        <w:rPr>
          <w:rStyle w:val="AttributeTok"/>
        </w:rPr>
        <w:t xml:space="preserve">--temp_dir</w:t>
      </w:r>
      <w:r>
        <w:rPr>
          <w:rStyle w:val="NormalTok"/>
        </w:rPr>
        <w:t xml:space="preserve"> /emapper_web_jobs/emapper_jobs/user_data/MM_um3te_g6 </w:t>
      </w:r>
      <w:r>
        <w:rPr>
          <w:rStyle w:val="AttributeTok"/>
        </w:rPr>
        <w:t xml:space="preserve">--override</w:t>
      </w:r>
      <w:r>
        <w:rPr>
          <w:rStyle w:val="NormalTok"/>
        </w:rPr>
        <w:t xml:space="preserve"> </w:t>
      </w:r>
      <w:r>
        <w:rPr>
          <w:rStyle w:val="AttributeTok"/>
        </w:rPr>
        <w:t xml:space="preserve">-m</w:t>
      </w:r>
      <w:r>
        <w:rPr>
          <w:rStyle w:val="NormalTok"/>
        </w:rPr>
        <w:t xml:space="preserve"> diamond </w:t>
      </w:r>
      <w:r>
        <w:rPr>
          <w:rStyle w:val="AttributeTok"/>
        </w:rPr>
        <w:t xml:space="preserve">--dmnd_ignore_warnings</w:t>
      </w:r>
      <w:r>
        <w:rPr>
          <w:rStyle w:val="NormalTok"/>
        </w:rPr>
        <w:t xml:space="preserve"> </w:t>
      </w:r>
      <w:r>
        <w:rPr>
          <w:rStyle w:val="AttributeTok"/>
        </w:rPr>
        <w:t xml:space="preserve">-i</w:t>
      </w:r>
      <w:r>
        <w:rPr>
          <w:rStyle w:val="NormalTok"/>
        </w:rPr>
        <w:t xml:space="preserve"> /emapper_web_jobs/emapper_jobs/user_data/MM_um3te_g6/queries.fasta </w:t>
      </w:r>
      <w:r>
        <w:rPr>
          <w:rStyle w:val="AttributeTok"/>
        </w:rPr>
        <w:t xml:space="preserve">--evalue</w:t>
      </w:r>
      <w:r>
        <w:rPr>
          <w:rStyle w:val="NormalTok"/>
        </w:rPr>
        <w:t xml:space="preserve"> 0.001 </w:t>
      </w:r>
      <w:r>
        <w:rPr>
          <w:rStyle w:val="AttributeTok"/>
        </w:rPr>
        <w:t xml:space="preserve">--score</w:t>
      </w:r>
      <w:r>
        <w:rPr>
          <w:rStyle w:val="NormalTok"/>
        </w:rPr>
        <w:t xml:space="preserve"> 60 </w:t>
      </w:r>
      <w:r>
        <w:rPr>
          <w:rStyle w:val="AttributeTok"/>
        </w:rPr>
        <w:t xml:space="preserve">--pident</w:t>
      </w:r>
      <w:r>
        <w:rPr>
          <w:rStyle w:val="NormalTok"/>
        </w:rPr>
        <w:t xml:space="preserve"> 40 </w:t>
      </w:r>
      <w:r>
        <w:rPr>
          <w:rStyle w:val="AttributeTok"/>
        </w:rPr>
        <w:t xml:space="preserve">--query_cover</w:t>
      </w:r>
      <w:r>
        <w:rPr>
          <w:rStyle w:val="NormalTok"/>
        </w:rPr>
        <w:t xml:space="preserve"> 20 </w:t>
      </w:r>
      <w:r>
        <w:rPr>
          <w:rStyle w:val="AttributeTok"/>
        </w:rPr>
        <w:t xml:space="preserve">--subject_cover</w:t>
      </w:r>
      <w:r>
        <w:rPr>
          <w:rStyle w:val="NormalTok"/>
        </w:rPr>
        <w:t xml:space="preserve"> 20 </w:t>
      </w:r>
      <w:r>
        <w:rPr>
          <w:rStyle w:val="AttributeTok"/>
        </w:rPr>
        <w:t xml:space="preserve">--itype</w:t>
      </w:r>
      <w:r>
        <w:rPr>
          <w:rStyle w:val="NormalTok"/>
        </w:rPr>
        <w:t xml:space="preserve"> proteins </w:t>
      </w:r>
      <w:r>
        <w:rPr>
          <w:rStyle w:val="AttributeTok"/>
        </w:rPr>
        <w:t xml:space="preserve">--tax_scope</w:t>
      </w:r>
      <w:r>
        <w:rPr>
          <w:rStyle w:val="NormalTok"/>
        </w:rPr>
        <w:t xml:space="preserve"> auto </w:t>
      </w:r>
      <w:r>
        <w:rPr>
          <w:rStyle w:val="AttributeTok"/>
        </w:rPr>
        <w:t xml:space="preserve">--target_orthologs</w:t>
      </w:r>
      <w:r>
        <w:rPr>
          <w:rStyle w:val="NormalTok"/>
        </w:rPr>
        <w:t xml:space="preserve"> all </w:t>
      </w:r>
      <w:r>
        <w:rPr>
          <w:rStyle w:val="AttributeTok"/>
        </w:rPr>
        <w:t xml:space="preserve">--go_evidence</w:t>
      </w:r>
      <w:r>
        <w:rPr>
          <w:rStyle w:val="NormalTok"/>
        </w:rPr>
        <w:t xml:space="preserve"> non-electronic </w:t>
      </w:r>
      <w:r>
        <w:rPr>
          <w:rStyle w:val="AttributeTok"/>
        </w:rPr>
        <w:t xml:space="preserve">--pfam_realign</w:t>
      </w:r>
      <w:r>
        <w:rPr>
          <w:rStyle w:val="NormalTok"/>
        </w:rPr>
        <w:t xml:space="preserve"> none </w:t>
      </w:r>
      <w:r>
        <w:rPr>
          <w:rStyle w:val="AttributeTok"/>
        </w:rPr>
        <w:t xml:space="preserve">--report_orthologs</w:t>
      </w:r>
      <w:r>
        <w:rPr>
          <w:rStyle w:val="NormalTok"/>
        </w:rPr>
        <w:t xml:space="preserve"> </w:t>
      </w:r>
      <w:r>
        <w:rPr>
          <w:rStyle w:val="AttributeTok"/>
        </w:rPr>
        <w:t xml:space="preserve">--decorate_gff</w:t>
      </w:r>
      <w:r>
        <w:rPr>
          <w:rStyle w:val="NormalTok"/>
        </w:rPr>
        <w:t xml:space="preserve"> yes </w:t>
      </w:r>
      <w:r>
        <w:rPr>
          <w:rStyle w:val="AttributeTok"/>
        </w:rPr>
        <w:t xml:space="preserve">--excel</w:t>
      </w:r>
      <w:r>
        <w:rPr>
          <w:rStyle w:val="NormalTok"/>
        </w:rPr>
        <w:t xml:space="preserve"> </w:t>
      </w:r>
      <w:r>
        <w:rPr>
          <w:rStyle w:val="OperatorTok"/>
        </w:rPr>
        <w:t xml:space="preserve">&gt;</w:t>
      </w:r>
      <w:r>
        <w:rPr>
          <w:rStyle w:val="NormalTok"/>
        </w:rPr>
        <w:t xml:space="preserve"> /emapper_web_jobs/emapper_jobs/user_data/MM_um3te_g6/emapper.out </w:t>
      </w:r>
      <w:r>
        <w:rPr>
          <w:rStyle w:val="DecValTok"/>
        </w:rPr>
        <w:t xml:space="preserve">2</w:t>
      </w:r>
      <w:r>
        <w:rPr>
          <w:rStyle w:val="OperatorTok"/>
        </w:rPr>
        <w:t xml:space="preserve">&gt;</w:t>
      </w:r>
      <w:r>
        <w:rPr>
          <w:rStyle w:val="NormalTok"/>
        </w:rPr>
        <w:t xml:space="preserve"> /emapper_web_jobs/emapper_jobs/user_data/MM_um3te_g6/emapper.err</w:t>
      </w:r>
    </w:p>
    <w:p>
      <w:pPr>
        <w:pStyle w:val="FirstParagraph"/>
      </w:pPr>
      <w:r>
        <w:rPr>
          <w:b/>
          <w:bCs/>
        </w:rPr>
        <w:t xml:space="preserve">Analysis</w:t>
      </w:r>
    </w:p>
    <w:p>
      <w:pPr>
        <w:pStyle w:val="SourceCode"/>
      </w:pPr>
      <w:r>
        <w:rPr>
          <w:rStyle w:val="VerbatimChar"/>
        </w:rPr>
        <w:t xml:space="preserve">## </w:t>
      </w:r>
      <w:r>
        <w:br/>
      </w:r>
      <w:r>
        <w:rPr>
          <w:rStyle w:val="VerbatimChar"/>
        </w:rPr>
        <w:t xml:space="preserve">## Attaching package: 'scales'</w:t>
      </w:r>
    </w:p>
    <w:p>
      <w:pPr>
        <w:pStyle w:val="SourceCode"/>
      </w:pPr>
      <w:r>
        <w:rPr>
          <w:rStyle w:val="VerbatimChar"/>
        </w:rPr>
        <w:t xml:space="preserve">## The following object is masked from 'package:readr':</w:t>
      </w:r>
      <w:r>
        <w:br/>
      </w:r>
      <w:r>
        <w:rPr>
          <w:rStyle w:val="VerbatimChar"/>
        </w:rPr>
        <w:t xml:space="preserve">## </w:t>
      </w:r>
      <w:r>
        <w:br/>
      </w:r>
      <w:r>
        <w:rPr>
          <w:rStyle w:val="VerbatimChar"/>
        </w:rPr>
        <w:t xml:space="preserve">##     col_factor</w:t>
      </w:r>
    </w:p>
    <w:p>
      <w:pPr>
        <w:pStyle w:val="SourceCode"/>
      </w:pPr>
      <w:r>
        <w:rPr>
          <w:rStyle w:val="VerbatimChar"/>
        </w:rPr>
        <w:t xml:space="preserve">## The following object is masked from 'package:purrr':</w:t>
      </w:r>
      <w:r>
        <w:br/>
      </w:r>
      <w:r>
        <w:rPr>
          <w:rStyle w:val="VerbatimChar"/>
        </w:rPr>
        <w:t xml:space="preserve">## </w:t>
      </w:r>
      <w:r>
        <w:br/>
      </w:r>
      <w:r>
        <w:rPr>
          <w:rStyle w:val="VerbatimChar"/>
        </w:rPr>
        <w:t xml:space="preserve">##     discard</w:t>
      </w:r>
    </w:p>
    <w:p>
      <w:pPr>
        <w:pStyle w:val="FirstParagraph"/>
      </w:pPr>
      <w:r>
        <w:drawing>
          <wp:inline>
            <wp:extent cx="4620126" cy="3696101"/>
            <wp:effectExtent b="0" l="0" r="0" t="0"/>
            <wp:docPr descr="" title="" id="21" name="Picture"/>
            <a:graphic>
              <a:graphicData uri="http://schemas.openxmlformats.org/drawingml/2006/picture">
                <pic:pic>
                  <pic:nvPicPr>
                    <pic:cNvPr descr="Draft_files/figure-docx/metalplotting-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Metal uptake and resistance genes in Sungouiella akabanensis and Wickerhamomyces anomalus genome assemblies.</w:t>
      </w:r>
    </w:p>
    <w:p>
      <w:pPr>
        <w:pStyle w:val="BodyText"/>
      </w:pPr>
      <w:r>
        <w:t xml:space="preserve">This plot shows the gene counts for key metal biosorption and resistance genes. All of the transporters investigated are present in multiple copies. Note the high number of phosphate transporters present in the S. akabanensis assembly. This potentially indicates strong arsenic uptake potential</w:t>
      </w:r>
      <w:r>
        <w:t xml:space="preserve"> </w:t>
      </w:r>
      <w:r>
        <w:t xml:space="preserve">(Catarecha et al. 2007)</w:t>
      </w:r>
      <w:r>
        <w:t xml:space="preserve">. This could be further investigated by culturing the strain on an arsenic containing substrate. While both strains exhibit many metal uptake genes, they are missing the key metal resistance gene CUP1. S. akabanensis does have a copy of CUP2, a transcription factor that activates the expression of CUP1</w:t>
      </w:r>
      <w:r>
        <w:t xml:space="preserve"> </w:t>
      </w:r>
      <w:r>
        <w:t xml:space="preserve">(Buchman et al. 1989)</w:t>
      </w:r>
      <w:r>
        <w:t xml:space="preserve">. This indicates that CUP1 may be present in S. akabanensis, and that the assembly is incomplete, or perhaps that the gene was missed in either the gene prediction or annotation stages. An alignment of CUP1 genes against the assembly should be performed to check for the presence of the gene. Both strains exhibit the glutathione biosynthesis pathway and therefore should possess resistance to metal toxicity</w:t>
      </w:r>
      <w:r>
        <w:t xml:space="preserve"> </w:t>
      </w:r>
      <w:r>
        <w:t xml:space="preserve">(Sun, Reynolds, and Belcher 2019)</w:t>
      </w:r>
      <w:r>
        <w:t xml:space="preserve">. Given the presence of all queried metal transporters and certain metal resistance genes, these species warrant further research into heavy metal bioremediation.</w:t>
      </w:r>
    </w:p>
    <w:p>
      <w:pPr>
        <w:pStyle w:val="BodyText"/>
      </w:pPr>
      <w:r>
        <w:drawing>
          <wp:inline>
            <wp:extent cx="4620126" cy="3696101"/>
            <wp:effectExtent b="0" l="0" r="0" t="0"/>
            <wp:docPr descr="" title="" id="24" name="Picture"/>
            <a:graphic>
              <a:graphicData uri="http://schemas.openxmlformats.org/drawingml/2006/picture">
                <pic:pic>
                  <pic:nvPicPr>
                    <pic:cNvPr descr="Draft_files/figure-docx/xenoplotting-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Xenobiotic metabolism genes in Sungouiella akabanensis and Wickerhamomyces anomalus genome assemblies.</w:t>
      </w:r>
    </w:p>
    <w:p>
      <w:pPr>
        <w:pStyle w:val="BodyText"/>
      </w:pPr>
      <w:r>
        <w:t xml:space="preserve">This plot shows the gene counts for key xenobiotic metabolism genes. Of the genes queried, only cytochrome P450 and multi-copper oxidases were present in the genome assemblies. The absence of laccase is unsurprising, as it is primarily found in rot fungi</w:t>
      </w:r>
      <w:r>
        <w:t xml:space="preserve"> </w:t>
      </w:r>
      <w:r>
        <w:t xml:space="preserve">(Bautista‐Guerrero et al. 2022)</w:t>
      </w:r>
      <w:r>
        <w:t xml:space="preserve">. Although the missing enzymes are disappointing, the high CYP count in Sungouiella akabanensis is quite promising. Such a high number of broad substrate enzymes indicates that this strain could potentially catalyze and degrade a very wide array of compounds</w:t>
      </w:r>
      <w:r>
        <w:t xml:space="preserve"> </w:t>
      </w:r>
      <w:r>
        <w:t xml:space="preserve">(Ide, Ichinose, and Wariishi 2012)</w:t>
      </w:r>
      <w:r>
        <w:t xml:space="preserve">. Due to the diversity of CYPs it is difficult to predict exactly how this finding could be applied, so further research into the bioremediation capabilities of S. akabanensis are warranted. Assays with differential and selective media should be conducted to observe the growth of the strain in the presence of dyes, pesticides and other compounds. A transcriptomics study should also be conducted to verify the veracity of the annotation results. The higher queried gene counts observed in S. akabanensis than in W. anomalus could be explained by the higher quality (contiguity and coverage) of the S. akabanensis assembly. Resampling and generating more robust assemblies could further strengthen, or refute the findings observed in this study.</w:t>
      </w:r>
    </w:p>
    <w:p>
      <w:pPr>
        <w:pStyle w:val="BodyText"/>
      </w:pPr>
      <w:r>
        <w:rPr>
          <w:b/>
          <w:bCs/>
        </w:rPr>
        <w:t xml:space="preserve">Conclusions</w:t>
      </w:r>
    </w:p>
    <w:p>
      <w:pPr>
        <w:pStyle w:val="BodyText"/>
      </w:pPr>
      <w:r>
        <w:t xml:space="preserve">In this project, we successfully assembled and annotated the genomes of two wild yeast isolates, Wickerhamomyces anomalus and Sungouiella akabanensis, using a complete workflow from read quality control to functional annotation. Despite limitations in sequencing depth, both assemblies provided meaningful biological insight, particularly regarding traits relevant to bioremediation. We identified high CYP and phosphate transporter counts, indicating that S. akabanensis has potential as a biosorbents or detoxifying agent. Additionally, the S. akabanensis assembly represents the first genomic resource available for this species, which when published will serve as a foundation for future characterization of its metabolic versatility and resistance mechanisms. Further experimental validation, such as transcriptomics or growth assays under pollutant stress, will be essential to confirm the bioremediation capacities suggested by the genomic data.</w:t>
      </w:r>
    </w:p>
    <w:p>
      <w:pPr>
        <w:pStyle w:val="SourceCode"/>
      </w:pPr>
      <w:r>
        <w:rPr>
          <w:rStyle w:val="FunctionTok"/>
        </w:rPr>
        <w:t xml:space="preserve">sessionInfo</w:t>
      </w:r>
      <w:r>
        <w:rPr>
          <w:rStyle w:val="NormalTok"/>
        </w:rPr>
        <w:t xml:space="preserve">()</w:t>
      </w:r>
    </w:p>
    <w:p>
      <w:pPr>
        <w:pStyle w:val="SourceCode"/>
      </w:pPr>
      <w:r>
        <w:rPr>
          <w:rStyle w:val="VerbatimChar"/>
        </w:rPr>
        <w:t xml:space="preserve">## R version 4.5.2 (2025-10-31 ucrt)</w:t>
      </w:r>
      <w:r>
        <w:br/>
      </w:r>
      <w:r>
        <w:rPr>
          <w:rStyle w:val="VerbatimChar"/>
        </w:rPr>
        <w:t xml:space="preserve">## Platform: x86_64-w64-mingw32/x64</w:t>
      </w:r>
      <w:r>
        <w:br/>
      </w:r>
      <w:r>
        <w:rPr>
          <w:rStyle w:val="VerbatimChar"/>
        </w:rPr>
        <w:t xml:space="preserve">## Running under: Windows 11 x64 (build 26200)</w:t>
      </w:r>
      <w:r>
        <w:br/>
      </w:r>
      <w:r>
        <w:rPr>
          <w:rStyle w:val="VerbatimChar"/>
        </w:rPr>
        <w:t xml:space="preserve">## </w:t>
      </w:r>
      <w:r>
        <w:br/>
      </w:r>
      <w:r>
        <w:rPr>
          <w:rStyle w:val="VerbatimChar"/>
        </w:rPr>
        <w:t xml:space="preserve">## Matrix products: default</w:t>
      </w:r>
      <w:r>
        <w:br/>
      </w:r>
      <w:r>
        <w:rPr>
          <w:rStyle w:val="VerbatimChar"/>
        </w:rPr>
        <w:t xml:space="preserve">##   LAPACK version 3.12.1</w:t>
      </w:r>
      <w:r>
        <w:br/>
      </w:r>
      <w:r>
        <w:rPr>
          <w:rStyle w:val="VerbatimChar"/>
        </w:rPr>
        <w:t xml:space="preserve">## </w:t>
      </w:r>
      <w:r>
        <w:br/>
      </w:r>
      <w:r>
        <w:rPr>
          <w:rStyle w:val="VerbatimChar"/>
        </w:rPr>
        <w:t xml:space="preserve">## locale:</w:t>
      </w:r>
      <w:r>
        <w:br/>
      </w:r>
      <w:r>
        <w:rPr>
          <w:rStyle w:val="VerbatimChar"/>
        </w:rPr>
        <w:t xml:space="preserve">## [1] LC_COLLATE=English_Canada.utf8  LC_CTYPE=English_Canada.utf8   </w:t>
      </w:r>
      <w:r>
        <w:br/>
      </w:r>
      <w:r>
        <w:rPr>
          <w:rStyle w:val="VerbatimChar"/>
        </w:rPr>
        <w:t xml:space="preserve">## [3] LC_MONETARY=English_Canada.utf8 LC_NUMERIC=C                   </w:t>
      </w:r>
      <w:r>
        <w:br/>
      </w:r>
      <w:r>
        <w:rPr>
          <w:rStyle w:val="VerbatimChar"/>
        </w:rPr>
        <w:t xml:space="preserve">## [5] LC_TIME=English_Canada.utf8    </w:t>
      </w:r>
      <w:r>
        <w:br/>
      </w:r>
      <w:r>
        <w:rPr>
          <w:rStyle w:val="VerbatimChar"/>
        </w:rPr>
        <w:t xml:space="preserve">## </w:t>
      </w:r>
      <w:r>
        <w:br/>
      </w:r>
      <w:r>
        <w:rPr>
          <w:rStyle w:val="VerbatimChar"/>
        </w:rPr>
        <w:t xml:space="preserve">## time zone: America/Vancouver</w:t>
      </w:r>
      <w:r>
        <w:br/>
      </w:r>
      <w:r>
        <w:rPr>
          <w:rStyle w:val="VerbatimChar"/>
        </w:rPr>
        <w:t xml:space="preserve">## tzcode source: internal</w:t>
      </w:r>
      <w:r>
        <w:br/>
      </w:r>
      <w:r>
        <w:rPr>
          <w:rStyle w:val="VerbatimChar"/>
        </w:rPr>
        <w:t xml:space="preserve">## </w:t>
      </w:r>
      <w:r>
        <w:br/>
      </w:r>
      <w:r>
        <w:rPr>
          <w:rStyle w:val="VerbatimChar"/>
        </w:rPr>
        <w:t xml:space="preserve">## attached base packages:</w:t>
      </w:r>
      <w:r>
        <w:br/>
      </w:r>
      <w:r>
        <w:rPr>
          <w:rStyle w:val="VerbatimChar"/>
        </w:rPr>
        <w:t xml:space="preserve">## [1] stats4    stats     graphics  grDevices utils     datasets  methods  </w:t>
      </w:r>
      <w:r>
        <w:br/>
      </w:r>
      <w:r>
        <w:rPr>
          <w:rStyle w:val="VerbatimChar"/>
        </w:rPr>
        <w:t xml:space="preserve">## [8] base     </w:t>
      </w:r>
      <w:r>
        <w:br/>
      </w:r>
      <w:r>
        <w:rPr>
          <w:rStyle w:val="VerbatimChar"/>
        </w:rPr>
        <w:t xml:space="preserve">## </w:t>
      </w:r>
      <w:r>
        <w:br/>
      </w:r>
      <w:r>
        <w:rPr>
          <w:rStyle w:val="VerbatimChar"/>
        </w:rPr>
        <w:t xml:space="preserve">## other attached packages:</w:t>
      </w:r>
      <w:r>
        <w:br/>
      </w:r>
      <w:r>
        <w:rPr>
          <w:rStyle w:val="VerbatimChar"/>
        </w:rPr>
        <w:t xml:space="preserve">##  [1] scales_1.4.0         lubridate_1.9.4      forcats_1.0.1       </w:t>
      </w:r>
      <w:r>
        <w:br/>
      </w:r>
      <w:r>
        <w:rPr>
          <w:rStyle w:val="VerbatimChar"/>
        </w:rPr>
        <w:t xml:space="preserve">##  [4] stringr_1.6.0        readr_2.1.6          tidyr_1.3.1         </w:t>
      </w:r>
      <w:r>
        <w:br/>
      </w:r>
      <w:r>
        <w:rPr>
          <w:rStyle w:val="VerbatimChar"/>
        </w:rPr>
        <w:t xml:space="preserve">##  [7] tibble_3.3.0         ggplot2_4.0.0        tidyverse_2.0.0     </w:t>
      </w:r>
      <w:r>
        <w:br/>
      </w:r>
      <w:r>
        <w:rPr>
          <w:rStyle w:val="VerbatimChar"/>
        </w:rPr>
        <w:t xml:space="preserve">## [10] GO.db_3.22.0         AnnotationDbi_1.72.0 IRanges_2.44.0      </w:t>
      </w:r>
      <w:r>
        <w:br/>
      </w:r>
      <w:r>
        <w:rPr>
          <w:rStyle w:val="VerbatimChar"/>
        </w:rPr>
        <w:t xml:space="preserve">## [13] S4Vectors_0.48.0     Biobase_2.70.0       BiocGenerics_0.56.0 </w:t>
      </w:r>
      <w:r>
        <w:br/>
      </w:r>
      <w:r>
        <w:rPr>
          <w:rStyle w:val="VerbatimChar"/>
        </w:rPr>
        <w:t xml:space="preserve">## [16] generics_0.1.4       purrr_1.2.0          KEGGREST_1.50.0     </w:t>
      </w:r>
      <w:r>
        <w:br/>
      </w:r>
      <w:r>
        <w:rPr>
          <w:rStyle w:val="VerbatimChar"/>
        </w:rPr>
        <w:t xml:space="preserve">## [19] dplyr_1.1.4          readxl_1.4.5         knitr_1.50          </w:t>
      </w:r>
      <w:r>
        <w:br/>
      </w:r>
      <w:r>
        <w:rPr>
          <w:rStyle w:val="VerbatimChar"/>
        </w:rPr>
        <w:t xml:space="preserve">## </w:t>
      </w:r>
      <w:r>
        <w:br/>
      </w:r>
      <w:r>
        <w:rPr>
          <w:rStyle w:val="VerbatimChar"/>
        </w:rPr>
        <w:t xml:space="preserve">## loaded via a namespace (and not attached):</w:t>
      </w:r>
      <w:r>
        <w:br/>
      </w:r>
      <w:r>
        <w:rPr>
          <w:rStyle w:val="VerbatimChar"/>
        </w:rPr>
        <w:t xml:space="preserve">##  [1] gtable_0.3.6       xfun_0.54          tzdb_0.5.0         vctrs_0.6.5       </w:t>
      </w:r>
      <w:r>
        <w:br/>
      </w:r>
      <w:r>
        <w:rPr>
          <w:rStyle w:val="VerbatimChar"/>
        </w:rPr>
        <w:t xml:space="preserve">##  [5] tools_4.5.2        curl_7.0.0         RSQLite_2.4.4      blob_1.2.4        </w:t>
      </w:r>
      <w:r>
        <w:br/>
      </w:r>
      <w:r>
        <w:rPr>
          <w:rStyle w:val="VerbatimChar"/>
        </w:rPr>
        <w:t xml:space="preserve">##  [9] pkgconfig_2.0.3    RColorBrewer_1.1-3 S7_0.2.0           lifecycle_1.0.4   </w:t>
      </w:r>
      <w:r>
        <w:br/>
      </w:r>
      <w:r>
        <w:rPr>
          <w:rStyle w:val="VerbatimChar"/>
        </w:rPr>
        <w:t xml:space="preserve">## [13] compiler_4.5.2     farver_2.1.2       Biostrings_2.78.0  Seqinfo_1.0.0     </w:t>
      </w:r>
      <w:r>
        <w:br/>
      </w:r>
      <w:r>
        <w:rPr>
          <w:rStyle w:val="VerbatimChar"/>
        </w:rPr>
        <w:t xml:space="preserve">## [17] htmltools_0.5.8.1  yaml_2.3.10        pillar_1.11.1      crayon_1.5.3      </w:t>
      </w:r>
      <w:r>
        <w:br/>
      </w:r>
      <w:r>
        <w:rPr>
          <w:rStyle w:val="VerbatimChar"/>
        </w:rPr>
        <w:t xml:space="preserve">## [21] cachem_1.1.0       tidyselect_1.2.1   digest_0.6.38      stringi_1.8.7     </w:t>
      </w:r>
      <w:r>
        <w:br/>
      </w:r>
      <w:r>
        <w:rPr>
          <w:rStyle w:val="VerbatimChar"/>
        </w:rPr>
        <w:t xml:space="preserve">## [25] fastmap_1.2.0      grid_4.5.2         cli_3.6.5          magrittr_2.0.4    </w:t>
      </w:r>
      <w:r>
        <w:br/>
      </w:r>
      <w:r>
        <w:rPr>
          <w:rStyle w:val="VerbatimChar"/>
        </w:rPr>
        <w:t xml:space="preserve">## [29] withr_3.0.2        bit64_4.6.0-1      timechange_0.3.0   rmarkdown_2.30    </w:t>
      </w:r>
      <w:r>
        <w:br/>
      </w:r>
      <w:r>
        <w:rPr>
          <w:rStyle w:val="VerbatimChar"/>
        </w:rPr>
        <w:t xml:space="preserve">## [33] XVector_0.50.0     httr_1.4.7         bit_4.6.0          cellranger_1.1.0  </w:t>
      </w:r>
      <w:r>
        <w:br/>
      </w:r>
      <w:r>
        <w:rPr>
          <w:rStyle w:val="VerbatimChar"/>
        </w:rPr>
        <w:t xml:space="preserve">## [37] png_0.1-8          hms_1.1.4          memoise_2.0.1      evaluate_1.0.5    </w:t>
      </w:r>
      <w:r>
        <w:br/>
      </w:r>
      <w:r>
        <w:rPr>
          <w:rStyle w:val="VerbatimChar"/>
        </w:rPr>
        <w:t xml:space="preserve">## [41] rlang_1.1.6        glue_1.8.0         DBI_1.2.3          rstudioapi_0.17.1 </w:t>
      </w:r>
      <w:r>
        <w:br/>
      </w:r>
      <w:r>
        <w:rPr>
          <w:rStyle w:val="VerbatimChar"/>
        </w:rPr>
        <w:t xml:space="preserve">## [45] R6_2.6.1</w:t>
      </w:r>
    </w:p>
    <w:p>
      <w:pPr>
        <w:pStyle w:val="FirstParagraph"/>
      </w:pPr>
      <w:r>
        <w:t xml:space="preserve">References</w:t>
      </w:r>
    </w:p>
    <w:bookmarkStart w:id="130" w:name="refs"/>
    <w:bookmarkStart w:id="27" w:name="ref-adams_beyond_2019"/>
    <w:p>
      <w:pPr>
        <w:pStyle w:val="Bibliography"/>
      </w:pPr>
      <w:r>
        <w:t xml:space="preserve">Adams, Clare I. M., Michael Knapp, Neil J. Gemmell, Gert-Jan Jeunen, Michael Bunce, Miles D. Lamare, and Helen R. Taylor. 2019.</w:t>
      </w:r>
      <w:r>
        <w:t xml:space="preserve"> </w:t>
      </w:r>
      <w:r>
        <w:t xml:space="preserve">“Beyond</w:t>
      </w:r>
      <w:r>
        <w:t xml:space="preserve"> </w:t>
      </w:r>
      <w:r>
        <w:t xml:space="preserve">Biodiversity</w:t>
      </w:r>
      <w:r>
        <w:t xml:space="preserve">:</w:t>
      </w:r>
      <w:r>
        <w:t xml:space="preserve"> </w:t>
      </w:r>
      <w:r>
        <w:t xml:space="preserve">Can</w:t>
      </w:r>
      <w:r>
        <w:t xml:space="preserve"> </w:t>
      </w:r>
      <w:r>
        <w:t xml:space="preserve">Environmental</w:t>
      </w:r>
      <w:r>
        <w:t xml:space="preserve"> </w:t>
      </w:r>
      <w:r>
        <w:t xml:space="preserve">DNA</w:t>
      </w:r>
      <w:r>
        <w:t xml:space="preserve"> </w:t>
      </w:r>
      <w:r>
        <w:t xml:space="preserve">(</w:t>
      </w:r>
      <w:r>
        <w:t xml:space="preserve">eDNA</w:t>
      </w:r>
      <w:r>
        <w:t xml:space="preserve">)</w:t>
      </w:r>
      <w:r>
        <w:t xml:space="preserve"> </w:t>
      </w:r>
      <w:r>
        <w:t xml:space="preserve">Cut</w:t>
      </w:r>
      <w:r>
        <w:t xml:space="preserve"> </w:t>
      </w:r>
      <w:r>
        <w:t xml:space="preserve">It</w:t>
      </w:r>
      <w:r>
        <w:t xml:space="preserve"> </w:t>
      </w:r>
      <w:r>
        <w:t xml:space="preserve">as a</w:t>
      </w:r>
      <w:r>
        <w:t xml:space="preserve"> </w:t>
      </w:r>
      <w:r>
        <w:t xml:space="preserve">Population</w:t>
      </w:r>
      <w:r>
        <w:t xml:space="preserve"> </w:t>
      </w:r>
      <w:r>
        <w:t xml:space="preserve">Genetics</w:t>
      </w:r>
      <w:r>
        <w:t xml:space="preserve"> </w:t>
      </w:r>
      <w:r>
        <w:t xml:space="preserve">Tool</w:t>
      </w:r>
      <w:r>
        <w:t xml:space="preserve">?”</w:t>
      </w:r>
      <w:r>
        <w:t xml:space="preserve"> </w:t>
      </w:r>
      <w:r>
        <w:rPr>
          <w:i/>
          <w:iCs/>
        </w:rPr>
        <w:t xml:space="preserve">Genes</w:t>
      </w:r>
      <w:r>
        <w:t xml:space="preserve"> </w:t>
      </w:r>
      <w:r>
        <w:t xml:space="preserve">10 (3): 192.</w:t>
      </w:r>
      <w:r>
        <w:t xml:space="preserve"> </w:t>
      </w:r>
      <w:hyperlink r:id="rId26">
        <w:r>
          <w:rPr>
            <w:rStyle w:val="Hyperlink"/>
          </w:rPr>
          <w:t xml:space="preserve">https://doi.org/10.3390/genes10030192</w:t>
        </w:r>
      </w:hyperlink>
      <w:r>
        <w:t xml:space="preserve">.</w:t>
      </w:r>
    </w:p>
    <w:bookmarkEnd w:id="27"/>
    <w:bookmarkStart w:id="29" w:name="ref-agrawal_fungal_2018"/>
    <w:p>
      <w:pPr>
        <w:pStyle w:val="Bibliography"/>
      </w:pPr>
      <w:r>
        <w:t xml:space="preserve">Agrawal, Komal, Venkatesh Chaturvedi, and Pradeep Verma. 2018.</w:t>
      </w:r>
      <w:r>
        <w:t xml:space="preserve"> </w:t>
      </w:r>
      <w:r>
        <w:t xml:space="preserve">“Fungal Laccase Discovered but yet Undiscovered.”</w:t>
      </w:r>
      <w:r>
        <w:t xml:space="preserve"> </w:t>
      </w:r>
      <w:r>
        <w:rPr>
          <w:i/>
          <w:iCs/>
        </w:rPr>
        <w:t xml:space="preserve">Bioresources and Bioprocessing</w:t>
      </w:r>
      <w:r>
        <w:t xml:space="preserve"> </w:t>
      </w:r>
      <w:r>
        <w:t xml:space="preserve">5 (1): 4.</w:t>
      </w:r>
      <w:r>
        <w:t xml:space="preserve"> </w:t>
      </w:r>
      <w:hyperlink r:id="rId28">
        <w:r>
          <w:rPr>
            <w:rStyle w:val="Hyperlink"/>
          </w:rPr>
          <w:t xml:space="preserve">https://doi.org/10.1186/s40643-018-0190-z</w:t>
        </w:r>
      </w:hyperlink>
      <w:r>
        <w:t xml:space="preserve">.</w:t>
      </w:r>
    </w:p>
    <w:bookmarkEnd w:id="29"/>
    <w:bookmarkStart w:id="31" w:name="ref-ashburner_gene_2000"/>
    <w:p>
      <w:pPr>
        <w:pStyle w:val="Bibliography"/>
      </w:pPr>
      <w:r>
        <w:t xml:space="preserve">Ashburner, Michael, Catherine A. Ball, Judith A. Blake, David Botstein, Heather Butler, J. Michael Cherry, Allan P. Davis, et al. 2000.</w:t>
      </w:r>
      <w:r>
        <w:t xml:space="preserve"> </w:t>
      </w:r>
      <w:r>
        <w:t xml:space="preserve">“Gene</w:t>
      </w:r>
      <w:r>
        <w:t xml:space="preserve"> </w:t>
      </w:r>
      <w:r>
        <w:t xml:space="preserve">Ontology</w:t>
      </w:r>
      <w:r>
        <w:t xml:space="preserve">: Tool for the Unification of Biology.”</w:t>
      </w:r>
      <w:r>
        <w:t xml:space="preserve"> </w:t>
      </w:r>
      <w:r>
        <w:rPr>
          <w:i/>
          <w:iCs/>
        </w:rPr>
        <w:t xml:space="preserve">Nature Genetics</w:t>
      </w:r>
      <w:r>
        <w:t xml:space="preserve"> </w:t>
      </w:r>
      <w:r>
        <w:t xml:space="preserve">25 (1): 25–29.</w:t>
      </w:r>
      <w:r>
        <w:t xml:space="preserve"> </w:t>
      </w:r>
      <w:hyperlink r:id="rId30">
        <w:r>
          <w:rPr>
            <w:rStyle w:val="Hyperlink"/>
          </w:rPr>
          <w:t xml:space="preserve">https://doi.org/10.1038/75556</w:t>
        </w:r>
      </w:hyperlink>
      <w:r>
        <w:t xml:space="preserve">.</w:t>
      </w:r>
    </w:p>
    <w:bookmarkEnd w:id="31"/>
    <w:bookmarkStart w:id="33" w:name="ref-bautistaguerrero_isolation_2022"/>
    <w:p>
      <w:pPr>
        <w:pStyle w:val="Bibliography"/>
      </w:pPr>
      <w:r>
        <w:t xml:space="preserve">Bautista‐Guerrero, Anaid, Rene A. Lara‐Diaz, Valérie Pihen, Erick R. Bandala, and Jose Luis Sanchez‐Sala. 2022.</w:t>
      </w:r>
      <w:r>
        <w:t xml:space="preserve"> </w:t>
      </w:r>
      <w:r>
        <w:t xml:space="preserve">“Isolation and Test of Novel Yeast Strains with Lignin Usage Capability and Phenolic Compound Resistance.”</w:t>
      </w:r>
      <w:r>
        <w:t xml:space="preserve"> </w:t>
      </w:r>
      <w:r>
        <w:rPr>
          <w:i/>
          <w:iCs/>
        </w:rPr>
        <w:t xml:space="preserve">MicrobiologyOpen</w:t>
      </w:r>
      <w:r>
        <w:t xml:space="preserve"> </w:t>
      </w:r>
      <w:r>
        <w:t xml:space="preserve">11 (5): e1326.</w:t>
      </w:r>
      <w:r>
        <w:t xml:space="preserve"> </w:t>
      </w:r>
      <w:hyperlink r:id="rId32">
        <w:r>
          <w:rPr>
            <w:rStyle w:val="Hyperlink"/>
          </w:rPr>
          <w:t xml:space="preserve">https://doi.org/10.1002/mbo3.1326</w:t>
        </w:r>
      </w:hyperlink>
      <w:r>
        <w:t xml:space="preserve">.</w:t>
      </w:r>
    </w:p>
    <w:bookmarkEnd w:id="33"/>
    <w:bookmarkStart w:id="35" w:name="ref-ben_taheur_review_2019"/>
    <w:p>
      <w:pPr>
        <w:pStyle w:val="Bibliography"/>
      </w:pPr>
      <w:r>
        <w:t xml:space="preserve">Ben Taheur, Fadia, Bochra Kouidhi, Yasir Mohammed A. Al Qurashi, Jalila Ben Salah-Abbès, and Kamel Chaieb. 2019.</w:t>
      </w:r>
      <w:r>
        <w:t xml:space="preserve"> </w:t>
      </w:r>
      <w:r>
        <w:t xml:space="preserve">“Review:</w:t>
      </w:r>
      <w:r>
        <w:t xml:space="preserve"> </w:t>
      </w:r>
      <w:r>
        <w:t xml:space="preserve">Biotechnology</w:t>
      </w:r>
      <w:r>
        <w:t xml:space="preserve"> </w:t>
      </w:r>
      <w:r>
        <w:t xml:space="preserve">of Mycotoxins Detoxification Using Microorganisms and Enzymes.”</w:t>
      </w:r>
      <w:r>
        <w:t xml:space="preserve"> </w:t>
      </w:r>
      <w:r>
        <w:rPr>
          <w:i/>
          <w:iCs/>
        </w:rPr>
        <w:t xml:space="preserve">Toxicon</w:t>
      </w:r>
      <w:r>
        <w:t xml:space="preserve"> </w:t>
      </w:r>
      <w:r>
        <w:t xml:space="preserve">160 (March): 12–22.</w:t>
      </w:r>
      <w:r>
        <w:t xml:space="preserve"> </w:t>
      </w:r>
      <w:hyperlink r:id="rId34">
        <w:r>
          <w:rPr>
            <w:rStyle w:val="Hyperlink"/>
          </w:rPr>
          <w:t xml:space="preserve">https://doi.org/10.1016/j.toxicon.2019.02.001</w:t>
        </w:r>
      </w:hyperlink>
      <w:r>
        <w:t xml:space="preserve">.</w:t>
      </w:r>
    </w:p>
    <w:bookmarkEnd w:id="35"/>
    <w:bookmarkStart w:id="37" w:name="ref-buchman_cup2_1989"/>
    <w:p>
      <w:pPr>
        <w:pStyle w:val="Bibliography"/>
      </w:pPr>
      <w:r>
        <w:t xml:space="preserve">Buchman, Carla, Petra Skroch, Juliet Welch, Seymour Fogel, and Michael Karin. 1989.</w:t>
      </w:r>
      <w:r>
        <w:t xml:space="preserve"> </w:t>
      </w:r>
      <w:r>
        <w:t xml:space="preserve">“The</w:t>
      </w:r>
      <w:r>
        <w:t xml:space="preserve"> </w:t>
      </w:r>
      <w:r>
        <w:rPr>
          <w:i/>
          <w:iCs/>
        </w:rPr>
        <w:t xml:space="preserve">CUP2</w:t>
      </w:r>
      <w:r>
        <w:t xml:space="preserve"> </w:t>
      </w:r>
      <w:r>
        <w:t xml:space="preserve">Gene</w:t>
      </w:r>
      <w:r>
        <w:t xml:space="preserve"> </w:t>
      </w:r>
      <w:r>
        <w:t xml:space="preserve">Product</w:t>
      </w:r>
      <w:r>
        <w:t xml:space="preserve">,</w:t>
      </w:r>
      <w:r>
        <w:t xml:space="preserve"> </w:t>
      </w:r>
      <w:r>
        <w:t xml:space="preserve">Regulator</w:t>
      </w:r>
      <w:r>
        <w:t xml:space="preserve"> </w:t>
      </w:r>
      <w:r>
        <w:t xml:space="preserve">of</w:t>
      </w:r>
      <w:r>
        <w:t xml:space="preserve"> </w:t>
      </w:r>
      <w:r>
        <w:t xml:space="preserve">Yeast</w:t>
      </w:r>
      <w:r>
        <w:t xml:space="preserve"> </w:t>
      </w:r>
      <w:r>
        <w:t xml:space="preserve">Metallothionein</w:t>
      </w:r>
      <w:r>
        <w:t xml:space="preserve"> </w:t>
      </w:r>
      <w:r>
        <w:t xml:space="preserve">Expression</w:t>
      </w:r>
      <w:r>
        <w:t xml:space="preserve">,</w:t>
      </w:r>
      <w:r>
        <w:t xml:space="preserve"> </w:t>
      </w:r>
      <w:r>
        <w:t xml:space="preserve">Is</w:t>
      </w:r>
      <w:r>
        <w:t xml:space="preserve"> </w:t>
      </w:r>
      <w:r>
        <w:t xml:space="preserve">a</w:t>
      </w:r>
      <w:r>
        <w:t xml:space="preserve"> </w:t>
      </w:r>
      <w:r>
        <w:t xml:space="preserve">Copper</w:t>
      </w:r>
      <w:r>
        <w:t xml:space="preserve">-</w:t>
      </w:r>
      <w:r>
        <w:t xml:space="preserve">Activated</w:t>
      </w:r>
      <w:r>
        <w:t xml:space="preserve"> </w:t>
      </w:r>
      <w:r>
        <w:t xml:space="preserve">DNA</w:t>
      </w:r>
      <w:r>
        <w:t xml:space="preserve">-</w:t>
      </w:r>
      <w:r>
        <w:t xml:space="preserve">Binding</w:t>
      </w:r>
      <w:r>
        <w:t xml:space="preserve"> </w:t>
      </w:r>
      <w:r>
        <w:t xml:space="preserve">Protein</w:t>
      </w:r>
      <w:r>
        <w:t xml:space="preserve">.”</w:t>
      </w:r>
      <w:r>
        <w:t xml:space="preserve"> </w:t>
      </w:r>
      <w:r>
        <w:rPr>
          <w:i/>
          <w:iCs/>
        </w:rPr>
        <w:t xml:space="preserve">Molecular and Cellular Biology</w:t>
      </w:r>
      <w:r>
        <w:t xml:space="preserve"> </w:t>
      </w:r>
      <w:r>
        <w:t xml:space="preserve">9 (9): 4091–95.</w:t>
      </w:r>
      <w:r>
        <w:t xml:space="preserve"> </w:t>
      </w:r>
      <w:hyperlink r:id="rId36">
        <w:r>
          <w:rPr>
            <w:rStyle w:val="Hyperlink"/>
          </w:rPr>
          <w:t xml:space="preserve">https://doi.org/10.1128/mcb.9.9.4091-4095.1989</w:t>
        </w:r>
      </w:hyperlink>
      <w:r>
        <w:t xml:space="preserve">.</w:t>
      </w:r>
    </w:p>
    <w:bookmarkEnd w:id="37"/>
    <w:bookmarkStart w:id="39" w:name="ref-cantalapiedra_eggnog-mapper_2021"/>
    <w:p>
      <w:pPr>
        <w:pStyle w:val="Bibliography"/>
      </w:pPr>
      <w:r>
        <w:t xml:space="preserve">Cantalapiedra, Carlos P., Ana Hernández-Plaza, Ivica Letunic, Peer Bork, and Jaime Huerta-Cepas. 2021.</w:t>
      </w:r>
      <w:r>
        <w:t xml:space="preserve"> </w:t>
      </w:r>
      <w:r>
        <w:t xml:space="preserve">“</w:t>
      </w:r>
      <w:r>
        <w:t xml:space="preserve">eggNOG</w:t>
      </w:r>
      <w:r>
        <w:t xml:space="preserve">-Mapper V2:</w:t>
      </w:r>
      <w:r>
        <w:t xml:space="preserve"> </w:t>
      </w:r>
      <w:r>
        <w:t xml:space="preserve">Functional</w:t>
      </w:r>
      <w:r>
        <w:t xml:space="preserve"> </w:t>
      </w:r>
      <w:r>
        <w:t xml:space="preserve">Annotation</w:t>
      </w:r>
      <w:r>
        <w:t xml:space="preserve">,</w:t>
      </w:r>
      <w:r>
        <w:t xml:space="preserve"> </w:t>
      </w:r>
      <w:r>
        <w:t xml:space="preserve">Orthology</w:t>
      </w:r>
      <w:r>
        <w:t xml:space="preserve"> </w:t>
      </w:r>
      <w:r>
        <w:t xml:space="preserve">Assignments</w:t>
      </w:r>
      <w:r>
        <w:t xml:space="preserve">, and</w:t>
      </w:r>
      <w:r>
        <w:t xml:space="preserve"> </w:t>
      </w:r>
      <w:r>
        <w:t xml:space="preserve">Domain</w:t>
      </w:r>
      <w:r>
        <w:t xml:space="preserve"> </w:t>
      </w:r>
      <w:r>
        <w:t xml:space="preserve">Prediction</w:t>
      </w:r>
      <w:r>
        <w:t xml:space="preserve"> </w:t>
      </w:r>
      <w:r>
        <w:t xml:space="preserve">at the</w:t>
      </w:r>
      <w:r>
        <w:t xml:space="preserve"> </w:t>
      </w:r>
      <w:r>
        <w:t xml:space="preserve">Metagenomic</w:t>
      </w:r>
      <w:r>
        <w:t xml:space="preserve"> </w:t>
      </w:r>
      <w:r>
        <w:t xml:space="preserve">Scale</w:t>
      </w:r>
      <w:r>
        <w:t xml:space="preserve">.”</w:t>
      </w:r>
      <w:r>
        <w:t xml:space="preserve"> </w:t>
      </w:r>
      <w:hyperlink r:id="rId38">
        <w:r>
          <w:rPr>
            <w:rStyle w:val="Hyperlink"/>
          </w:rPr>
          <w:t xml:space="preserve">https://doi.org/10.1101/2021.06.03.446934</w:t>
        </w:r>
      </w:hyperlink>
      <w:r>
        <w:t xml:space="preserve">.</w:t>
      </w:r>
    </w:p>
    <w:bookmarkEnd w:id="39"/>
    <w:bookmarkStart w:id="40" w:name="ref-godb"/>
    <w:p>
      <w:pPr>
        <w:pStyle w:val="Bibliography"/>
      </w:pPr>
      <w:r>
        <w:t xml:space="preserve">Carlson, Marc. 2024.</w:t>
      </w:r>
      <w:r>
        <w:t xml:space="preserve"> </w:t>
      </w:r>
      <w:r>
        <w:rPr>
          <w:i/>
          <w:iCs/>
        </w:rPr>
        <w:t xml:space="preserve">GO.db: A Set of Annotation Maps Describing the Entire Gene Ontology</w:t>
      </w:r>
      <w:r>
        <w:t xml:space="preserve">.</w:t>
      </w:r>
    </w:p>
    <w:bookmarkEnd w:id="40"/>
    <w:bookmarkStart w:id="42" w:name="ref-catarecha_mutant_2007"/>
    <w:p>
      <w:pPr>
        <w:pStyle w:val="Bibliography"/>
      </w:pPr>
      <w:r>
        <w:t xml:space="preserve">Catarecha, Pablo, Ma Dolores Segura, José Manuel Franco-Zorrilla, Berenice García-Ponce, Mónica Lanza, Roberto Solano, Javier Paz-Ares, and Antonio Leyva. 2007.</w:t>
      </w:r>
      <w:r>
        <w:t xml:space="preserve"> </w:t>
      </w:r>
      <w:r>
        <w:t xml:space="preserve">“A</w:t>
      </w:r>
      <w:r>
        <w:t xml:space="preserve"> </w:t>
      </w:r>
      <w:r>
        <w:t xml:space="preserve">Mutant</w:t>
      </w:r>
      <w:r>
        <w:t xml:space="preserve"> </w:t>
      </w:r>
      <w:r>
        <w:t xml:space="preserve">of the</w:t>
      </w:r>
      <w:r>
        <w:t xml:space="preserve"> </w:t>
      </w:r>
      <w:r>
        <w:rPr>
          <w:i/>
          <w:iCs/>
        </w:rPr>
        <w:t xml:space="preserve">Arabidopsis</w:t>
      </w:r>
      <w:r>
        <w:t xml:space="preserve"> </w:t>
      </w:r>
      <w:r>
        <w:t xml:space="preserve">Phosphate</w:t>
      </w:r>
      <w:r>
        <w:t xml:space="preserve"> </w:t>
      </w:r>
      <w:r>
        <w:t xml:space="preserve">Transporter</w:t>
      </w:r>
      <w:r>
        <w:t xml:space="preserve"> </w:t>
      </w:r>
      <w:r>
        <w:t xml:space="preserve">PHT1</w:t>
      </w:r>
      <w:r>
        <w:t xml:space="preserve">;1</w:t>
      </w:r>
      <w:r>
        <w:t xml:space="preserve"> </w:t>
      </w:r>
      <w:r>
        <w:t xml:space="preserve">Displays</w:t>
      </w:r>
      <w:r>
        <w:t xml:space="preserve"> </w:t>
      </w:r>
      <w:r>
        <w:t xml:space="preserve">Enhanced</w:t>
      </w:r>
      <w:r>
        <w:t xml:space="preserve"> </w:t>
      </w:r>
      <w:r>
        <w:t xml:space="preserve">Arsenic</w:t>
      </w:r>
      <w:r>
        <w:t xml:space="preserve"> </w:t>
      </w:r>
      <w:r>
        <w:t xml:space="preserve">Accumulation</w:t>
      </w:r>
      <w:r>
        <w:t xml:space="preserve">.”</w:t>
      </w:r>
      <w:r>
        <w:t xml:space="preserve"> </w:t>
      </w:r>
      <w:r>
        <w:rPr>
          <w:i/>
          <w:iCs/>
        </w:rPr>
        <w:t xml:space="preserve">The Plant Cell</w:t>
      </w:r>
      <w:r>
        <w:t xml:space="preserve"> </w:t>
      </w:r>
      <w:r>
        <w:t xml:space="preserve">19 (3): 1123–33.</w:t>
      </w:r>
      <w:r>
        <w:t xml:space="preserve"> </w:t>
      </w:r>
      <w:hyperlink r:id="rId41">
        <w:r>
          <w:rPr>
            <w:rStyle w:val="Hyperlink"/>
          </w:rPr>
          <w:t xml:space="preserve">https://doi.org/10.1105/tpc.106.041871</w:t>
        </w:r>
      </w:hyperlink>
      <w:r>
        <w:t xml:space="preserve">.</w:t>
      </w:r>
    </w:p>
    <w:bookmarkEnd w:id="42"/>
    <w:bookmarkStart w:id="44" w:name="ref-chen_removal_2022"/>
    <w:p>
      <w:pPr>
        <w:pStyle w:val="Bibliography"/>
      </w:pPr>
      <w:r>
        <w:t xml:space="preserve">Chen, Lin, Xuan Zhang, Meng Zhang, Yonghua Zhu, and Rui Zhuo. 2022.</w:t>
      </w:r>
      <w:r>
        <w:t xml:space="preserve"> </w:t>
      </w:r>
      <w:r>
        <w:t xml:space="preserve">“Removal of Heavy-Metal Pollutants by White Rot Fungi:</w:t>
      </w:r>
      <w:r>
        <w:t xml:space="preserve"> </w:t>
      </w:r>
      <w:r>
        <w:t xml:space="preserve">Mechanisms</w:t>
      </w:r>
      <w:r>
        <w:t xml:space="preserve">, Achievements, and Perspectives.”</w:t>
      </w:r>
      <w:r>
        <w:t xml:space="preserve"> </w:t>
      </w:r>
      <w:r>
        <w:rPr>
          <w:i/>
          <w:iCs/>
        </w:rPr>
        <w:t xml:space="preserve">Journal of Cleaner Production</w:t>
      </w:r>
      <w:r>
        <w:t xml:space="preserve"> </w:t>
      </w:r>
      <w:r>
        <w:t xml:space="preserve">354 (June): 131681.</w:t>
      </w:r>
      <w:r>
        <w:t xml:space="preserve"> </w:t>
      </w:r>
      <w:hyperlink r:id="rId43">
        <w:r>
          <w:rPr>
            <w:rStyle w:val="Hyperlink"/>
          </w:rPr>
          <w:t xml:space="preserve">https://doi.org/10.1016/j.jclepro.2022.131681</w:t>
        </w:r>
      </w:hyperlink>
      <w:r>
        <w:t xml:space="preserve">.</w:t>
      </w:r>
    </w:p>
    <w:bookmarkEnd w:id="44"/>
    <w:bookmarkStart w:id="46" w:name="ref-cunningham_fungi_2024"/>
    <w:p>
      <w:pPr>
        <w:pStyle w:val="Bibliography"/>
      </w:pPr>
      <w:r>
        <w:t xml:space="preserve">Cunningham, Janine A., Mahajabeen Padamsee, Simon Wilson, and Mark J. Costello. 2024.</w:t>
      </w:r>
      <w:r>
        <w:t xml:space="preserve"> </w:t>
      </w:r>
      <w:r>
        <w:t xml:space="preserve">“Fungi Species Description Rates Confirm High Global Diversity and Suggest Half Remain Unnamed.”</w:t>
      </w:r>
      <w:r>
        <w:t xml:space="preserve"> </w:t>
      </w:r>
      <w:r>
        <w:rPr>
          <w:i/>
          <w:iCs/>
        </w:rPr>
        <w:t xml:space="preserve">Frontiers of Biogeography</w:t>
      </w:r>
      <w:r>
        <w:t xml:space="preserve"> </w:t>
      </w:r>
      <w:r>
        <w:t xml:space="preserve">16 (2).</w:t>
      </w:r>
      <w:r>
        <w:t xml:space="preserve"> </w:t>
      </w:r>
      <w:hyperlink r:id="rId45">
        <w:r>
          <w:rPr>
            <w:rStyle w:val="Hyperlink"/>
          </w:rPr>
          <w:t xml:space="preserve">https://doi.org/10.21425/F5FBG62358</w:t>
        </w:r>
      </w:hyperlink>
      <w:r>
        <w:t xml:space="preserve">.</w:t>
      </w:r>
    </w:p>
    <w:bookmarkEnd w:id="46"/>
    <w:bookmarkStart w:id="48" w:name="ref-ejigu_review_2020"/>
    <w:p>
      <w:pPr>
        <w:pStyle w:val="Bibliography"/>
      </w:pPr>
      <w:r>
        <w:t xml:space="preserve">Ejigu, Girum Fitihamlak, and Jaehee Jung. 2020.</w:t>
      </w:r>
      <w:r>
        <w:t xml:space="preserve"> </w:t>
      </w:r>
      <w:r>
        <w:t xml:space="preserve">“Review on the</w:t>
      </w:r>
      <w:r>
        <w:t xml:space="preserve"> </w:t>
      </w:r>
      <w:r>
        <w:t xml:space="preserve">Computational</w:t>
      </w:r>
      <w:r>
        <w:t xml:space="preserve"> </w:t>
      </w:r>
      <w:r>
        <w:t xml:space="preserve">Genome</w:t>
      </w:r>
      <w:r>
        <w:t xml:space="preserve"> </w:t>
      </w:r>
      <w:r>
        <w:t xml:space="preserve">Annotation</w:t>
      </w:r>
      <w:r>
        <w:t xml:space="preserve"> </w:t>
      </w:r>
      <w:r>
        <w:t xml:space="preserve">of</w:t>
      </w:r>
      <w:r>
        <w:t xml:space="preserve"> </w:t>
      </w:r>
      <w:r>
        <w:t xml:space="preserve">Sequences</w:t>
      </w:r>
      <w:r>
        <w:t xml:space="preserve"> </w:t>
      </w:r>
      <w:r>
        <w:t xml:space="preserve">Obtained</w:t>
      </w:r>
      <w:r>
        <w:t xml:space="preserve"> </w:t>
      </w:r>
      <w:r>
        <w:t xml:space="preserve">by</w:t>
      </w:r>
      <w:r>
        <w:t xml:space="preserve"> </w:t>
      </w:r>
      <w:r>
        <w:t xml:space="preserve">Next</w:t>
      </w:r>
      <w:r>
        <w:t xml:space="preserve">-</w:t>
      </w:r>
      <w:r>
        <w:t xml:space="preserve">Generation</w:t>
      </w:r>
      <w:r>
        <w:t xml:space="preserve"> </w:t>
      </w:r>
      <w:r>
        <w:t xml:space="preserve">Sequencing</w:t>
      </w:r>
      <w:r>
        <w:t xml:space="preserve">.”</w:t>
      </w:r>
      <w:r>
        <w:t xml:space="preserve"> </w:t>
      </w:r>
      <w:r>
        <w:rPr>
          <w:i/>
          <w:iCs/>
        </w:rPr>
        <w:t xml:space="preserve">Biology</w:t>
      </w:r>
      <w:r>
        <w:t xml:space="preserve"> </w:t>
      </w:r>
      <w:r>
        <w:t xml:space="preserve">9 (9): 295.</w:t>
      </w:r>
      <w:r>
        <w:t xml:space="preserve"> </w:t>
      </w:r>
      <w:hyperlink r:id="rId47">
        <w:r>
          <w:rPr>
            <w:rStyle w:val="Hyperlink"/>
          </w:rPr>
          <w:t xml:space="preserve">https://doi.org/10.3390/biology9090295</w:t>
        </w:r>
      </w:hyperlink>
      <w:r>
        <w:t xml:space="preserve">.</w:t>
      </w:r>
    </w:p>
    <w:bookmarkEnd w:id="48"/>
    <w:bookmarkStart w:id="50" w:name="ref-fletcher_rna_seq_2015"/>
    <w:p>
      <w:pPr>
        <w:pStyle w:val="Bibliography"/>
      </w:pPr>
      <w:r>
        <w:t xml:space="preserve">Fletcher, Eugene, Amir Feizi, SungSoo Kim, Verena Siewers, and Jens Nielsen. 2015.</w:t>
      </w:r>
      <w:r>
        <w:t xml:space="preserve"> </w:t>
      </w:r>
      <w:r>
        <w:t xml:space="preserve">“</w:t>
      </w:r>
      <w:r>
        <w:t xml:space="preserve">RNA</w:t>
      </w:r>
      <w:r>
        <w:t xml:space="preserve">-Seq Analysis of</w:t>
      </w:r>
      <w:r>
        <w:t xml:space="preserve"> </w:t>
      </w:r>
      <w:r>
        <w:t xml:space="preserve">Pichia</w:t>
      </w:r>
      <w:r>
        <w:t xml:space="preserve"> </w:t>
      </w:r>
      <w:r>
        <w:t xml:space="preserve">Anomala Reveals Important Mechanisms Required for Survival at</w:t>
      </w:r>
      <w:r>
        <w:t xml:space="preserve"> </w:t>
      </w:r>
      <w:r>
        <w:t xml:space="preserve">lowpH</w:t>
      </w:r>
      <w:r>
        <w:t xml:space="preserve">.”</w:t>
      </w:r>
      <w:r>
        <w:t xml:space="preserve"> </w:t>
      </w:r>
      <w:r>
        <w:rPr>
          <w:i/>
          <w:iCs/>
        </w:rPr>
        <w:t xml:space="preserve">Microbial Cell Factories</w:t>
      </w:r>
      <w:r>
        <w:t xml:space="preserve"> </w:t>
      </w:r>
      <w:r>
        <w:t xml:space="preserve">14 (1): 143.</w:t>
      </w:r>
      <w:r>
        <w:t xml:space="preserve"> </w:t>
      </w:r>
      <w:hyperlink r:id="rId49">
        <w:r>
          <w:rPr>
            <w:rStyle w:val="Hyperlink"/>
          </w:rPr>
          <w:t xml:space="preserve">https://doi.org/10.1186/s12934-015-0331-4</w:t>
        </w:r>
      </w:hyperlink>
      <w:r>
        <w:t xml:space="preserve">.</w:t>
      </w:r>
    </w:p>
    <w:bookmarkEnd w:id="50"/>
    <w:bookmarkStart w:id="52" w:name="ref-fredlund_physiological_2002"/>
    <w:p>
      <w:pPr>
        <w:pStyle w:val="Bibliography"/>
      </w:pPr>
      <w:r>
        <w:t xml:space="preserve">Fredlund, Elisabeth, Ulrika Druvefors, Marianne E Boysen, Karl-Johan Lingsten, and Johan SchnÃ¼rer. 2002.</w:t>
      </w:r>
      <w:r>
        <w:t xml:space="preserve"> </w:t>
      </w:r>
      <w:r>
        <w:t xml:space="preserve">“Physiological Characteristics of the Biocontrol Yeast</w:t>
      </w:r>
      <w:r>
        <w:t xml:space="preserve"> </w:t>
      </w:r>
      <w:r>
        <w:rPr>
          <w:i/>
          <w:iCs/>
        </w:rPr>
        <w:t xml:space="preserve">Pichia</w:t>
      </w:r>
      <w:r>
        <w:rPr>
          <w:i/>
          <w:iCs/>
        </w:rPr>
        <w:t xml:space="preserve"> </w:t>
      </w:r>
      <w:r>
        <w:rPr>
          <w:i/>
          <w:iCs/>
        </w:rPr>
        <w:t xml:space="preserve">Anomala</w:t>
      </w:r>
      <w:r>
        <w:t xml:space="preserve"> </w:t>
      </w:r>
      <w:r>
        <w:t xml:space="preserve">J121</w:t>
      </w:r>
      <w:r>
        <w:t xml:space="preserve">.”</w:t>
      </w:r>
      <w:r>
        <w:t xml:space="preserve"> </w:t>
      </w:r>
      <w:r>
        <w:rPr>
          <w:i/>
          <w:iCs/>
        </w:rPr>
        <w:t xml:space="preserve">FEMS Yeast Research</w:t>
      </w:r>
      <w:r>
        <w:t xml:space="preserve"> </w:t>
      </w:r>
      <w:r>
        <w:t xml:space="preserve">2 (3): 395–402.</w:t>
      </w:r>
      <w:r>
        <w:t xml:space="preserve"> </w:t>
      </w:r>
      <w:hyperlink r:id="rId51">
        <w:r>
          <w:rPr>
            <w:rStyle w:val="Hyperlink"/>
          </w:rPr>
          <w:t xml:space="preserve">https://doi.org/10.1111/j.1567-1364.2002.tb00109.x</w:t>
        </w:r>
      </w:hyperlink>
      <w:r>
        <w:t xml:space="preserve">.</w:t>
      </w:r>
    </w:p>
    <w:bookmarkEnd w:id="52"/>
    <w:bookmarkStart w:id="54" w:name="ref-gaidatzis_quasr_2015"/>
    <w:p>
      <w:pPr>
        <w:pStyle w:val="Bibliography"/>
      </w:pPr>
      <w:r>
        <w:t xml:space="preserve">Gaidatzis, Dimos, Anita Lerch, Florian Hahne, and Michael B. Stadler. 2015.</w:t>
      </w:r>
      <w:r>
        <w:t xml:space="preserve"> </w:t>
      </w:r>
      <w:r>
        <w:t xml:space="preserve">“</w:t>
      </w:r>
      <w:r>
        <w:t xml:space="preserve">QuasR</w:t>
      </w:r>
      <w:r>
        <w:t xml:space="preserve">: Quantification and Annotation of Short Reads in</w:t>
      </w:r>
      <w:r>
        <w:t xml:space="preserve"> </w:t>
      </w:r>
      <w:r>
        <w:t xml:space="preserve">R</w:t>
      </w:r>
      <w:r>
        <w:t xml:space="preserve">.”</w:t>
      </w:r>
      <w:r>
        <w:t xml:space="preserve"> </w:t>
      </w:r>
      <w:r>
        <w:rPr>
          <w:i/>
          <w:iCs/>
        </w:rPr>
        <w:t xml:space="preserve">Bioinformatics</w:t>
      </w:r>
      <w:r>
        <w:t xml:space="preserve"> </w:t>
      </w:r>
      <w:r>
        <w:t xml:space="preserve">31 (7): 1130–32.</w:t>
      </w:r>
      <w:r>
        <w:t xml:space="preserve"> </w:t>
      </w:r>
      <w:hyperlink r:id="rId53">
        <w:r>
          <w:rPr>
            <w:rStyle w:val="Hyperlink"/>
          </w:rPr>
          <w:t xml:space="preserve">https://doi.org/10.1093/bioinformatics/btu781</w:t>
        </w:r>
      </w:hyperlink>
      <w:r>
        <w:t xml:space="preserve">.</w:t>
      </w:r>
    </w:p>
    <w:bookmarkEnd w:id="54"/>
    <w:bookmarkStart w:id="56" w:name="ref-galperin_cog_2024"/>
    <w:p>
      <w:pPr>
        <w:pStyle w:val="Bibliography"/>
      </w:pPr>
      <w:r>
        <w:t xml:space="preserve">Galperin, Michael Y, Roberto Vera Alvarez, Svetlana Karamycheva, Kira S Makarova, Yuri I Wolf, David Landsman, and Eugene V Koonin. 2024.</w:t>
      </w:r>
      <w:r>
        <w:t xml:space="preserve"> </w:t>
      </w:r>
      <w:r>
        <w:t xml:space="preserve">“</w:t>
      </w:r>
      <w:r>
        <w:t xml:space="preserve">COG</w:t>
      </w:r>
      <w:r>
        <w:t xml:space="preserve"> </w:t>
      </w:r>
      <w:r>
        <w:t xml:space="preserve">Database Update 2024.”</w:t>
      </w:r>
      <w:r>
        <w:t xml:space="preserve"> </w:t>
      </w:r>
      <w:r>
        <w:rPr>
          <w:i/>
          <w:iCs/>
        </w:rPr>
        <w:t xml:space="preserve">Nucleic Acids Research</w:t>
      </w:r>
      <w:r>
        <w:t xml:space="preserve"> </w:t>
      </w:r>
      <w:r>
        <w:t xml:space="preserve">53 (D1): D356–63.</w:t>
      </w:r>
      <w:r>
        <w:t xml:space="preserve"> </w:t>
      </w:r>
      <w:hyperlink r:id="rId55">
        <w:r>
          <w:rPr>
            <w:rStyle w:val="Hyperlink"/>
          </w:rPr>
          <w:t xml:space="preserve">https://doi.org/10.1093/nar/gkae983</w:t>
        </w:r>
      </w:hyperlink>
      <w:r>
        <w:t xml:space="preserve">.</w:t>
      </w:r>
    </w:p>
    <w:bookmarkEnd w:id="56"/>
    <w:bookmarkStart w:id="58" w:name="ref-hall_cellular_2002"/>
    <w:p>
      <w:pPr>
        <w:pStyle w:val="Bibliography"/>
      </w:pPr>
      <w:r>
        <w:t xml:space="preserve">Hall, J. L. 2002.</w:t>
      </w:r>
      <w:r>
        <w:t xml:space="preserve"> </w:t>
      </w:r>
      <w:r>
        <w:t xml:space="preserve">“Cellular Mechanisms for Heavy Metal Detoxification and Tolerance.”</w:t>
      </w:r>
      <w:r>
        <w:t xml:space="preserve"> </w:t>
      </w:r>
      <w:r>
        <w:rPr>
          <w:i/>
          <w:iCs/>
        </w:rPr>
        <w:t xml:space="preserve">Journal of Experimental Botany</w:t>
      </w:r>
      <w:r>
        <w:t xml:space="preserve"> </w:t>
      </w:r>
      <w:r>
        <w:t xml:space="preserve">53 (366): 1–11.</w:t>
      </w:r>
      <w:r>
        <w:t xml:space="preserve"> </w:t>
      </w:r>
      <w:hyperlink r:id="rId57">
        <w:r>
          <w:rPr>
            <w:rStyle w:val="Hyperlink"/>
          </w:rPr>
          <w:t xml:space="preserve">https://doi.org/10.1093/jexbot/53.366.1</w:t>
        </w:r>
      </w:hyperlink>
      <w:r>
        <w:t xml:space="preserve">.</w:t>
      </w:r>
    </w:p>
    <w:bookmarkEnd w:id="58"/>
    <w:bookmarkStart w:id="60" w:name="ref-huerta-cepas_eggnog_2019"/>
    <w:p>
      <w:pPr>
        <w:pStyle w:val="Bibliography"/>
      </w:pPr>
      <w:r>
        <w:t xml:space="preserve">Huerta-Cepas, Jaime, Damian Szklarczyk, Davide Heller, Ana Hernández-Plaza, Sofia K Forslund, Helen Cook, Daniel R Mende, et al. 2019.</w:t>
      </w:r>
      <w:r>
        <w:t xml:space="preserve"> </w:t>
      </w:r>
      <w:r>
        <w:t xml:space="preserve">“</w:t>
      </w:r>
      <w:r>
        <w:t xml:space="preserve">eggNOG</w:t>
      </w:r>
      <w:r>
        <w:t xml:space="preserve"> </w:t>
      </w:r>
      <w:r>
        <w:t xml:space="preserve">5.0: A Hierarchical, Functionally and Phylogenetically Annotated Orthology Resource Based on 5090 Organisms and 2502 Viruses.”</w:t>
      </w:r>
      <w:r>
        <w:t xml:space="preserve"> </w:t>
      </w:r>
      <w:r>
        <w:rPr>
          <w:i/>
          <w:iCs/>
        </w:rPr>
        <w:t xml:space="preserve">Nucleic Acids Research</w:t>
      </w:r>
      <w:r>
        <w:t xml:space="preserve"> </w:t>
      </w:r>
      <w:r>
        <w:t xml:space="preserve">47 (D1): D309–14.</w:t>
      </w:r>
      <w:r>
        <w:t xml:space="preserve"> </w:t>
      </w:r>
      <w:hyperlink r:id="rId59">
        <w:r>
          <w:rPr>
            <w:rStyle w:val="Hyperlink"/>
          </w:rPr>
          <w:t xml:space="preserve">https://doi.org/10.1093/nar/gky1085</w:t>
        </w:r>
      </w:hyperlink>
      <w:r>
        <w:t xml:space="preserve">.</w:t>
      </w:r>
    </w:p>
    <w:bookmarkEnd w:id="60"/>
    <w:bookmarkStart w:id="62" w:name="ref-ide_molecular_2012"/>
    <w:p>
      <w:pPr>
        <w:pStyle w:val="Bibliography"/>
      </w:pPr>
      <w:r>
        <w:t xml:space="preserve">Ide, Masamichi, Hirofumi Ichinose, and Hiroyuki Wariishi. 2012.</w:t>
      </w:r>
      <w:r>
        <w:t xml:space="preserve"> </w:t>
      </w:r>
      <w:r>
        <w:t xml:space="preserve">“Molecular Identification and Functional Characterization of Cytochrome</w:t>
      </w:r>
      <w:r>
        <w:t xml:space="preserve"> </w:t>
      </w:r>
      <w:r>
        <w:t xml:space="preserve">P450</w:t>
      </w:r>
      <w:r>
        <w:t xml:space="preserve"> </w:t>
      </w:r>
      <w:r>
        <w:t xml:space="preserve">Monooxygenases from the Brown-Rot Basidiomycete</w:t>
      </w:r>
      <w:r>
        <w:t xml:space="preserve"> </w:t>
      </w:r>
      <w:r>
        <w:t xml:space="preserve">Postia</w:t>
      </w:r>
      <w:r>
        <w:t xml:space="preserve"> </w:t>
      </w:r>
      <w:r>
        <w:t xml:space="preserve">Placenta.”</w:t>
      </w:r>
      <w:r>
        <w:t xml:space="preserve"> </w:t>
      </w:r>
      <w:r>
        <w:rPr>
          <w:i/>
          <w:iCs/>
        </w:rPr>
        <w:t xml:space="preserve">Archives of Microbiology</w:t>
      </w:r>
      <w:r>
        <w:t xml:space="preserve"> </w:t>
      </w:r>
      <w:r>
        <w:t xml:space="preserve">194 (4): 243–53.</w:t>
      </w:r>
      <w:r>
        <w:t xml:space="preserve"> </w:t>
      </w:r>
      <w:hyperlink r:id="rId61">
        <w:r>
          <w:rPr>
            <w:rStyle w:val="Hyperlink"/>
          </w:rPr>
          <w:t xml:space="preserve">https://doi.org/10.1007/s00203-011-0753-2</w:t>
        </w:r>
      </w:hyperlink>
      <w:r>
        <w:t xml:space="preserve">.</w:t>
      </w:r>
    </w:p>
    <w:bookmarkEnd w:id="62"/>
    <w:bookmarkStart w:id="64" w:name="ref-ioannou_fungemia_2024"/>
    <w:p>
      <w:pPr>
        <w:pStyle w:val="Bibliography"/>
      </w:pPr>
      <w:r>
        <w:t xml:space="preserve">Ioannou, Petros, Stella Baliou, and Diamantis P. Kofteridis. 2024.</w:t>
      </w:r>
      <w:r>
        <w:t xml:space="preserve"> </w:t>
      </w:r>
      <w:r>
        <w:t xml:space="preserve">“Fungemia by</w:t>
      </w:r>
      <w:r>
        <w:t xml:space="preserve"> </w:t>
      </w:r>
      <w:r>
        <w:t xml:space="preserve">Wickerhamomyces</w:t>
      </w:r>
      <w:r>
        <w:t xml:space="preserve"> </w:t>
      </w:r>
      <w:r>
        <w:t xml:space="preserve">Anomalus—</w:t>
      </w:r>
      <w:r>
        <w:t xml:space="preserve">A</w:t>
      </w:r>
      <w:r>
        <w:t xml:space="preserve"> </w:t>
      </w:r>
      <w:r>
        <w:t xml:space="preserve">Narrative</w:t>
      </w:r>
      <w:r>
        <w:t xml:space="preserve"> </w:t>
      </w:r>
      <w:r>
        <w:t xml:space="preserve">Review</w:t>
      </w:r>
      <w:r>
        <w:t xml:space="preserve">.”</w:t>
      </w:r>
      <w:r>
        <w:t xml:space="preserve"> </w:t>
      </w:r>
      <w:r>
        <w:rPr>
          <w:i/>
          <w:iCs/>
        </w:rPr>
        <w:t xml:space="preserve">Pathogens</w:t>
      </w:r>
      <w:r>
        <w:t xml:space="preserve"> </w:t>
      </w:r>
      <w:r>
        <w:t xml:space="preserve">13 (3): 269.</w:t>
      </w:r>
      <w:r>
        <w:t xml:space="preserve"> </w:t>
      </w:r>
      <w:hyperlink r:id="rId63">
        <w:r>
          <w:rPr>
            <w:rStyle w:val="Hyperlink"/>
          </w:rPr>
          <w:t xml:space="preserve">https://doi.org/10.3390/pathogens13030269</w:t>
        </w:r>
      </w:hyperlink>
      <w:r>
        <w:t xml:space="preserve">.</w:t>
      </w:r>
    </w:p>
    <w:bookmarkEnd w:id="64"/>
    <w:bookmarkStart w:id="66" w:name="ref-khan_recent_2023"/>
    <w:p>
      <w:pPr>
        <w:pStyle w:val="Bibliography"/>
      </w:pPr>
      <w:r>
        <w:t xml:space="preserve">Khan, Mohd Faheem, Carina Hof, Patricie Niemcová, and Cormac D. Murphy. 2023.</w:t>
      </w:r>
      <w:r>
        <w:t xml:space="preserve"> </w:t>
      </w:r>
      <w:r>
        <w:t xml:space="preserve">“Recent Advances in Fungal Xenobiotic Metabolism: Enzymes and Applications.”</w:t>
      </w:r>
      <w:r>
        <w:t xml:space="preserve"> </w:t>
      </w:r>
      <w:r>
        <w:rPr>
          <w:i/>
          <w:iCs/>
        </w:rPr>
        <w:t xml:space="preserve">World Journal of Microbiology and Biotechnology</w:t>
      </w:r>
      <w:r>
        <w:t xml:space="preserve"> </w:t>
      </w:r>
      <w:r>
        <w:t xml:space="preserve">39 (11): 296.</w:t>
      </w:r>
      <w:r>
        <w:t xml:space="preserve"> </w:t>
      </w:r>
      <w:hyperlink r:id="rId65">
        <w:r>
          <w:rPr>
            <w:rStyle w:val="Hyperlink"/>
          </w:rPr>
          <w:t xml:space="preserve">https://doi.org/10.1007/s11274-023-03737-7</w:t>
        </w:r>
      </w:hyperlink>
      <w:r>
        <w:t xml:space="preserve">.</w:t>
      </w:r>
    </w:p>
    <w:bookmarkEnd w:id="66"/>
    <w:bookmarkStart w:id="68" w:name="ref-kolmogorov_assembly_2019"/>
    <w:p>
      <w:pPr>
        <w:pStyle w:val="Bibliography"/>
      </w:pPr>
      <w:r>
        <w:t xml:space="preserve">Kolmogorov, Mikhail, Jeffrey Yuan, Yu Lin, and Pavel A. Pevzner. 2019.</w:t>
      </w:r>
      <w:r>
        <w:t xml:space="preserve"> </w:t>
      </w:r>
      <w:r>
        <w:t xml:space="preserve">“Assembly of Long, Error-Prone Reads Using Repeat Graphs.”</w:t>
      </w:r>
      <w:r>
        <w:t xml:space="preserve"> </w:t>
      </w:r>
      <w:r>
        <w:rPr>
          <w:i/>
          <w:iCs/>
        </w:rPr>
        <w:t xml:space="preserve">Nature Biotechnology</w:t>
      </w:r>
      <w:r>
        <w:t xml:space="preserve"> </w:t>
      </w:r>
      <w:r>
        <w:t xml:space="preserve">37 (5): 540–46.</w:t>
      </w:r>
      <w:r>
        <w:t xml:space="preserve"> </w:t>
      </w:r>
      <w:hyperlink r:id="rId67">
        <w:r>
          <w:rPr>
            <w:rStyle w:val="Hyperlink"/>
          </w:rPr>
          <w:t xml:space="preserve">https://doi.org/10.1038/s41587-019-0072-8</w:t>
        </w:r>
      </w:hyperlink>
      <w:r>
        <w:t xml:space="preserve">.</w:t>
      </w:r>
    </w:p>
    <w:bookmarkEnd w:id="68"/>
    <w:bookmarkStart w:id="70" w:name="ref-kuchen_evaluation_2023"/>
    <w:p>
      <w:pPr>
        <w:pStyle w:val="Bibliography"/>
      </w:pPr>
      <w:r>
        <w:t xml:space="preserve">Kuchen, Benjamín, Emilio Hector Paroldi, María Sol Azcona, María Carla Groff, Licia Pera, and Fabio Vazquez. 2023.</w:t>
      </w:r>
      <w:r>
        <w:t xml:space="preserve"> </w:t>
      </w:r>
      <w:r>
        <w:t xml:space="preserve">“Evaluation of the Application of</w:t>
      </w:r>
      <w:r>
        <w:t xml:space="preserve"> </w:t>
      </w:r>
      <w:r>
        <w:rPr>
          <w:i/>
          <w:iCs/>
        </w:rPr>
        <w:t xml:space="preserve">Wickerhamomyces</w:t>
      </w:r>
      <w:r>
        <w:rPr>
          <w:i/>
          <w:iCs/>
        </w:rPr>
        <w:t xml:space="preserve"> </w:t>
      </w:r>
      <w:r>
        <w:rPr>
          <w:i/>
          <w:iCs/>
        </w:rPr>
        <w:t xml:space="preserve">Anomalus</w:t>
      </w:r>
      <w:r>
        <w:t xml:space="preserve"> </w:t>
      </w:r>
      <w:r>
        <w:t xml:space="preserve">Supernatant for the Control of Relevant Spoilage Yeasts in Wines.”</w:t>
      </w:r>
      <w:r>
        <w:t xml:space="preserve"> </w:t>
      </w:r>
      <w:r>
        <w:rPr>
          <w:i/>
          <w:iCs/>
        </w:rPr>
        <w:t xml:space="preserve">OENO One</w:t>
      </w:r>
      <w:r>
        <w:t xml:space="preserve"> </w:t>
      </w:r>
      <w:r>
        <w:t xml:space="preserve">57 (1): 279–88.</w:t>
      </w:r>
      <w:r>
        <w:t xml:space="preserve"> </w:t>
      </w:r>
      <w:hyperlink r:id="rId69">
        <w:r>
          <w:rPr>
            <w:rStyle w:val="Hyperlink"/>
          </w:rPr>
          <w:t xml:space="preserve">https://doi.org/10.20870/oeno-one.2023.57.1.7165</w:t>
        </w:r>
      </w:hyperlink>
      <w:r>
        <w:t xml:space="preserve">.</w:t>
      </w:r>
    </w:p>
    <w:bookmarkEnd w:id="70"/>
    <w:bookmarkStart w:id="72" w:name="ref-lee_principles_2023"/>
    <w:p>
      <w:pPr>
        <w:pStyle w:val="Bibliography"/>
      </w:pPr>
      <w:r>
        <w:t xml:space="preserve">Lee, Jun-Yeong. 2023.</w:t>
      </w:r>
      <w:r>
        <w:t xml:space="preserve"> </w:t>
      </w:r>
      <w:r>
        <w:t xml:space="preserve">“The</w:t>
      </w:r>
      <w:r>
        <w:t xml:space="preserve"> </w:t>
      </w:r>
      <w:r>
        <w:t xml:space="preserve">Principles</w:t>
      </w:r>
      <w:r>
        <w:t xml:space="preserve"> </w:t>
      </w:r>
      <w:r>
        <w:t xml:space="preserve">and</w:t>
      </w:r>
      <w:r>
        <w:t xml:space="preserve"> </w:t>
      </w:r>
      <w:r>
        <w:t xml:space="preserve">Applications</w:t>
      </w:r>
      <w:r>
        <w:t xml:space="preserve"> </w:t>
      </w:r>
      <w:r>
        <w:t xml:space="preserve">of</w:t>
      </w:r>
      <w:r>
        <w:t xml:space="preserve"> </w:t>
      </w:r>
      <w:r>
        <w:t xml:space="preserve">High</w:t>
      </w:r>
      <w:r>
        <w:t xml:space="preserve">-</w:t>
      </w:r>
      <w:r>
        <w:t xml:space="preserve">Throughput</w:t>
      </w:r>
      <w:r>
        <w:t xml:space="preserve"> </w:t>
      </w:r>
      <w:r>
        <w:t xml:space="preserve">Sequencing</w:t>
      </w:r>
      <w:r>
        <w:t xml:space="preserve"> </w:t>
      </w:r>
      <w:r>
        <w:t xml:space="preserve">Technologies.”</w:t>
      </w:r>
      <w:r>
        <w:t xml:space="preserve"> </w:t>
      </w:r>
      <w:r>
        <w:rPr>
          <w:i/>
          <w:iCs/>
        </w:rPr>
        <w:t xml:space="preserve">Development &amp; Reproduction</w:t>
      </w:r>
      <w:r>
        <w:t xml:space="preserve"> </w:t>
      </w:r>
      <w:r>
        <w:t xml:space="preserve">27 (1): 9–24.</w:t>
      </w:r>
      <w:r>
        <w:t xml:space="preserve"> </w:t>
      </w:r>
      <w:hyperlink r:id="rId71">
        <w:r>
          <w:rPr>
            <w:rStyle w:val="Hyperlink"/>
          </w:rPr>
          <w:t xml:space="preserve">https://doi.org/10.12717/DR.2023.27.1.9</w:t>
        </w:r>
      </w:hyperlink>
      <w:r>
        <w:t xml:space="preserve">.</w:t>
      </w:r>
    </w:p>
    <w:bookmarkEnd w:id="72"/>
    <w:bookmarkStart w:id="74" w:name="ref-li_guide_2018"/>
    <w:p>
      <w:pPr>
        <w:pStyle w:val="Bibliography"/>
      </w:pPr>
      <w:r>
        <w:t xml:space="preserve">Li, Fay‐Wei, and Alex Harkess. 2018.</w:t>
      </w:r>
      <w:r>
        <w:t xml:space="preserve"> </w:t>
      </w:r>
      <w:r>
        <w:t xml:space="preserve">“A Guide to Sequence Your Favorite Plant Genomes.”</w:t>
      </w:r>
      <w:r>
        <w:t xml:space="preserve"> </w:t>
      </w:r>
      <w:r>
        <w:rPr>
          <w:i/>
          <w:iCs/>
        </w:rPr>
        <w:t xml:space="preserve">Applications in Plant Sciences</w:t>
      </w:r>
      <w:r>
        <w:t xml:space="preserve"> </w:t>
      </w:r>
      <w:r>
        <w:t xml:space="preserve">6 (3): e1030.</w:t>
      </w:r>
      <w:r>
        <w:t xml:space="preserve"> </w:t>
      </w:r>
      <w:hyperlink r:id="rId73">
        <w:r>
          <w:rPr>
            <w:rStyle w:val="Hyperlink"/>
          </w:rPr>
          <w:t xml:space="preserve">https://doi.org/10.1002/aps3.1030</w:t>
        </w:r>
      </w:hyperlink>
      <w:r>
        <w:t xml:space="preserve">.</w:t>
      </w:r>
    </w:p>
    <w:bookmarkEnd w:id="74"/>
    <w:bookmarkStart w:id="76" w:name="ref-lillian_phylogenetic_2022"/>
    <w:p>
      <w:pPr>
        <w:pStyle w:val="Bibliography"/>
      </w:pPr>
      <w:r>
        <w:t xml:space="preserve">Lillian, A., A. Chuku, N. Joseph, B. Ajide, R. Reuben, and O. Akwashiki. 2022.</w:t>
      </w:r>
      <w:r>
        <w:t xml:space="preserve"> </w:t>
      </w:r>
      <w:r>
        <w:t xml:space="preserve">“Phylogenetic</w:t>
      </w:r>
      <w:r>
        <w:t xml:space="preserve"> </w:t>
      </w:r>
      <w:r>
        <w:t xml:space="preserve">Diversity</w:t>
      </w:r>
      <w:r>
        <w:t xml:space="preserve"> </w:t>
      </w:r>
      <w:r>
        <w:t xml:space="preserve">and</w:t>
      </w:r>
      <w:r>
        <w:t xml:space="preserve"> </w:t>
      </w:r>
      <w:r>
        <w:t xml:space="preserve">Susceptibility</w:t>
      </w:r>
      <w:r>
        <w:t xml:space="preserve"> </w:t>
      </w:r>
      <w:r>
        <w:t xml:space="preserve">of</w:t>
      </w:r>
      <w:r>
        <w:t xml:space="preserve"> </w:t>
      </w:r>
      <w:r>
        <w:t xml:space="preserve">Candida</w:t>
      </w:r>
      <w:r>
        <w:t xml:space="preserve"> </w:t>
      </w:r>
      <w:r>
        <w:t xml:space="preserve">Species</w:t>
      </w:r>
      <w:r>
        <w:t xml:space="preserve"> </w:t>
      </w:r>
      <w:r>
        <w:t xml:space="preserve">from</w:t>
      </w:r>
      <w:r>
        <w:t xml:space="preserve"> </w:t>
      </w:r>
      <w:r>
        <w:t xml:space="preserve">Women</w:t>
      </w:r>
      <w:r>
        <w:t xml:space="preserve"> </w:t>
      </w:r>
      <w:r>
        <w:t xml:space="preserve">Using</w:t>
      </w:r>
      <w:r>
        <w:t xml:space="preserve"> </w:t>
      </w:r>
      <w:r>
        <w:t xml:space="preserve">Contraceptive</w:t>
      </w:r>
      <w:r>
        <w:t xml:space="preserve"> </w:t>
      </w:r>
      <w:r>
        <w:t xml:space="preserve">Devices</w:t>
      </w:r>
      <w:r>
        <w:t xml:space="preserve"> </w:t>
      </w:r>
      <w:r>
        <w:t xml:space="preserve">in</w:t>
      </w:r>
      <w:r>
        <w:t xml:space="preserve"> </w:t>
      </w:r>
      <w:r>
        <w:t xml:space="preserve">Central</w:t>
      </w:r>
      <w:r>
        <w:t xml:space="preserve"> </w:t>
      </w:r>
      <w:r>
        <w:t xml:space="preserve">Nigeria</w:t>
      </w:r>
      <w:r>
        <w:t xml:space="preserve">.”</w:t>
      </w:r>
      <w:r>
        <w:t xml:space="preserve"> </w:t>
      </w:r>
      <w:r>
        <w:rPr>
          <w:i/>
          <w:iCs/>
        </w:rPr>
        <w:t xml:space="preserve">International Journal of Infectious Diseases</w:t>
      </w:r>
      <w:r>
        <w:t xml:space="preserve">, Abstracts from the</w:t>
      </w:r>
      <w:r>
        <w:t xml:space="preserve"> </w:t>
      </w:r>
      <w:r>
        <w:t xml:space="preserve">Eighth</w:t>
      </w:r>
      <w:r>
        <w:t xml:space="preserve"> </w:t>
      </w:r>
      <w:r>
        <w:t xml:space="preserve">International</w:t>
      </w:r>
      <w:r>
        <w:t xml:space="preserve"> </w:t>
      </w:r>
      <w:r>
        <w:t xml:space="preserve">Meeting</w:t>
      </w:r>
      <w:r>
        <w:t xml:space="preserve"> </w:t>
      </w:r>
      <w:r>
        <w:t xml:space="preserve">on</w:t>
      </w:r>
      <w:r>
        <w:t xml:space="preserve"> </w:t>
      </w:r>
      <w:r>
        <w:t xml:space="preserve">Emerging</w:t>
      </w:r>
      <w:r>
        <w:t xml:space="preserve"> </w:t>
      </w:r>
      <w:r>
        <w:t xml:space="preserve">Diseases</w:t>
      </w:r>
      <w:r>
        <w:t xml:space="preserve"> </w:t>
      </w:r>
      <w:r>
        <w:t xml:space="preserve">and</w:t>
      </w:r>
      <w:r>
        <w:t xml:space="preserve"> </w:t>
      </w:r>
      <w:r>
        <w:t xml:space="preserve">Surveillance</w:t>
      </w:r>
      <w:r>
        <w:t xml:space="preserve">,</w:t>
      </w:r>
      <w:r>
        <w:t xml:space="preserve"> </w:t>
      </w:r>
      <w:r>
        <w:t xml:space="preserve">IMED</w:t>
      </w:r>
      <w:r>
        <w:t xml:space="preserve"> </w:t>
      </w:r>
      <w:r>
        <w:t xml:space="preserve">2021, 116 (March): S5–6.</w:t>
      </w:r>
      <w:r>
        <w:t xml:space="preserve"> </w:t>
      </w:r>
      <w:hyperlink r:id="rId75">
        <w:r>
          <w:rPr>
            <w:rStyle w:val="Hyperlink"/>
          </w:rPr>
          <w:t xml:space="preserve">https://doi.org/10.1016/j.ijid.2021.12.013</w:t>
        </w:r>
      </w:hyperlink>
      <w:r>
        <w:t xml:space="preserve">.</w:t>
      </w:r>
    </w:p>
    <w:bookmarkEnd w:id="76"/>
    <w:bookmarkStart w:id="78" w:name="ref-liu_phylogenomic_2024"/>
    <w:p>
      <w:pPr>
        <w:pStyle w:val="Bibliography"/>
      </w:pPr>
      <w:r>
        <w:t xml:space="preserve">Liu, F., Z.-D. Hu, X.-M. Zhao, W.-N. Zhao, Z.-X. Feng, A. Yurkov, S. Alwasel, et al. 2024.</w:t>
      </w:r>
      <w:r>
        <w:t xml:space="preserve"> </w:t>
      </w:r>
      <w:r>
        <w:t xml:space="preserve">“Phylogenomic Analysis of the</w:t>
      </w:r>
      <w:r>
        <w:t xml:space="preserve"> </w:t>
      </w:r>
      <w:r>
        <w:t xml:space="preserve">Candida</w:t>
      </w:r>
      <w:r>
        <w:t xml:space="preserve"> </w:t>
      </w:r>
      <w:r>
        <w:t xml:space="preserve">Auris-</w:t>
      </w:r>
      <w:r>
        <w:t xml:space="preserve">Candida</w:t>
      </w:r>
      <w:r>
        <w:t xml:space="preserve"> </w:t>
      </w:r>
      <w:r>
        <w:t xml:space="preserve">Haemuli Clade and Related Taxa in the</w:t>
      </w:r>
      <w:r>
        <w:t xml:space="preserve"> </w:t>
      </w:r>
      <w:r>
        <w:t xml:space="preserve">Metschnikowiaceae</w:t>
      </w:r>
      <w:r>
        <w:t xml:space="preserve">, and Proposal of Thirteen New Genera, Fifty-Five New Combinations and Nine New Species.”</w:t>
      </w:r>
      <w:r>
        <w:t xml:space="preserve"> </w:t>
      </w:r>
      <w:r>
        <w:rPr>
          <w:i/>
          <w:iCs/>
        </w:rPr>
        <w:t xml:space="preserve">Persoonia</w:t>
      </w:r>
      <w:r>
        <w:t xml:space="preserve"> </w:t>
      </w:r>
      <w:r>
        <w:t xml:space="preserve">52 (August): 22–43.</w:t>
      </w:r>
      <w:r>
        <w:t xml:space="preserve"> </w:t>
      </w:r>
      <w:hyperlink r:id="rId77">
        <w:r>
          <w:rPr>
            <w:rStyle w:val="Hyperlink"/>
          </w:rPr>
          <w:t xml:space="preserve">https://doi.org/10.3767/persoonia.2024.52.02</w:t>
        </w:r>
      </w:hyperlink>
      <w:r>
        <w:t xml:space="preserve">.</w:t>
      </w:r>
    </w:p>
    <w:bookmarkEnd w:id="78"/>
    <w:bookmarkStart w:id="80" w:name="ref-loegler_genotype_2025"/>
    <w:p>
      <w:pPr>
        <w:pStyle w:val="Bibliography"/>
      </w:pPr>
      <w:r>
        <w:t xml:space="preserve">Loegler, Victor, Pia Thiele, Elie Teyssonnière, Andreas Tsouris, Gauthier Brach, Corinne Cruaud, Emilie Payen, et al. 2025.</w:t>
      </w:r>
      <w:r>
        <w:t xml:space="preserve"> </w:t>
      </w:r>
      <w:r>
        <w:t xml:space="preserve">“From Genotype to Phenotype with 1,086 Near Telomere-to-Telomere Yeast Genomes.”</w:t>
      </w:r>
      <w:r>
        <w:t xml:space="preserve"> </w:t>
      </w:r>
      <w:r>
        <w:rPr>
          <w:i/>
          <w:iCs/>
        </w:rPr>
        <w:t xml:space="preserve">Nature</w:t>
      </w:r>
      <w:r>
        <w:t xml:space="preserve">, October, 1–10.</w:t>
      </w:r>
      <w:r>
        <w:t xml:space="preserve"> </w:t>
      </w:r>
      <w:hyperlink r:id="rId79">
        <w:r>
          <w:rPr>
            <w:rStyle w:val="Hyperlink"/>
          </w:rPr>
          <w:t xml:space="preserve">https://doi.org/10.1038/s41586-025-09637-0</w:t>
        </w:r>
      </w:hyperlink>
      <w:r>
        <w:t xml:space="preserve">.</w:t>
      </w:r>
    </w:p>
    <w:bookmarkEnd w:id="80"/>
    <w:bookmarkStart w:id="82" w:name="ref-lowe_transcriptomics_2017"/>
    <w:p>
      <w:pPr>
        <w:pStyle w:val="Bibliography"/>
      </w:pPr>
      <w:r>
        <w:t xml:space="preserve">Lowe, Rohan, Neil Shirley, Mark Bleackley, Stephen Dolan, and Thomas Shafee. 2017.</w:t>
      </w:r>
      <w:r>
        <w:t xml:space="preserve"> </w:t>
      </w:r>
      <w:r>
        <w:t xml:space="preserve">“Transcriptomics Technologies.”</w:t>
      </w:r>
      <w:r>
        <w:t xml:space="preserve"> </w:t>
      </w:r>
      <w:r>
        <w:rPr>
          <w:i/>
          <w:iCs/>
        </w:rPr>
        <w:t xml:space="preserve">PLoS Computational Biology</w:t>
      </w:r>
      <w:r>
        <w:t xml:space="preserve"> </w:t>
      </w:r>
      <w:r>
        <w:t xml:space="preserve">13 (5): e1005457.</w:t>
      </w:r>
      <w:r>
        <w:t xml:space="preserve"> </w:t>
      </w:r>
      <w:hyperlink r:id="rId81">
        <w:r>
          <w:rPr>
            <w:rStyle w:val="Hyperlink"/>
          </w:rPr>
          <w:t xml:space="preserve">https://doi.org/10.1371/journal.pcbi.1005457</w:t>
        </w:r>
      </w:hyperlink>
      <w:r>
        <w:t xml:space="preserve">.</w:t>
      </w:r>
    </w:p>
    <w:bookmarkEnd w:id="82"/>
    <w:bookmarkStart w:id="83" w:name="ref-docker"/>
    <w:p>
      <w:pPr>
        <w:pStyle w:val="Bibliography"/>
      </w:pPr>
      <w:r>
        <w:t xml:space="preserve">Merkel, Dirk. 2014.</w:t>
      </w:r>
      <w:r>
        <w:t xml:space="preserve"> </w:t>
      </w:r>
      <w:r>
        <w:t xml:space="preserve">“Docker: Lightweight Linux Containers for Consistent Development and Deployment.”</w:t>
      </w:r>
      <w:r>
        <w:t xml:space="preserve"> </w:t>
      </w:r>
      <w:r>
        <w:rPr>
          <w:i/>
          <w:iCs/>
        </w:rPr>
        <w:t xml:space="preserve">Linux J.</w:t>
      </w:r>
      <w:r>
        <w:t xml:space="preserve"> </w:t>
      </w:r>
      <w:r>
        <w:t xml:space="preserve">2014 (239).</w:t>
      </w:r>
    </w:p>
    <w:bookmarkEnd w:id="83"/>
    <w:bookmarkStart w:id="85" w:name="ref-mohiuddin_bioremediation_2024"/>
    <w:p>
      <w:pPr>
        <w:pStyle w:val="Bibliography"/>
      </w:pPr>
      <w:r>
        <w:t xml:space="preserve">Mohiuddin, Obaidullah, Adam P. Harvey, Maria Teresa Orta Ledesma, and Sharon Velasquez-Orta. 2024.</w:t>
      </w:r>
      <w:r>
        <w:t xml:space="preserve"> </w:t>
      </w:r>
      <w:r>
        <w:t xml:space="preserve">“Bioremediation of Waste by Yeast Strains.”</w:t>
      </w:r>
      <w:r>
        <w:t xml:space="preserve"> </w:t>
      </w:r>
      <w:r>
        <w:rPr>
          <w:i/>
          <w:iCs/>
        </w:rPr>
        <w:t xml:space="preserve">Electronic Journal of Biotechnology</w:t>
      </w:r>
      <w:r>
        <w:t xml:space="preserve"> </w:t>
      </w:r>
      <w:r>
        <w:t xml:space="preserve">69 (May): 30–42.</w:t>
      </w:r>
      <w:r>
        <w:t xml:space="preserve"> </w:t>
      </w:r>
      <w:hyperlink r:id="rId84">
        <w:r>
          <w:rPr>
            <w:rStyle w:val="Hyperlink"/>
          </w:rPr>
          <w:t xml:space="preserve">https://doi.org/10.1016/j.ejbt.2024.01.005</w:t>
        </w:r>
      </w:hyperlink>
      <w:r>
        <w:t xml:space="preserve">.</w:t>
      </w:r>
    </w:p>
    <w:bookmarkEnd w:id="85"/>
    <w:bookmarkStart w:id="87" w:name="ref-moreton_assembly_2016"/>
    <w:p>
      <w:pPr>
        <w:pStyle w:val="Bibliography"/>
      </w:pPr>
      <w:r>
        <w:t xml:space="preserve">Moreton, Joanna, Abril Izquierdo, and Richard D. Emes. 2016.</w:t>
      </w:r>
      <w:r>
        <w:t xml:space="preserve"> </w:t>
      </w:r>
      <w:r>
        <w:t xml:space="preserve">“Assembly,</w:t>
      </w:r>
      <w:r>
        <w:t xml:space="preserve"> </w:t>
      </w:r>
      <w:r>
        <w:t xml:space="preserve">Assessment</w:t>
      </w:r>
      <w:r>
        <w:t xml:space="preserve">, and</w:t>
      </w:r>
      <w:r>
        <w:t xml:space="preserve"> </w:t>
      </w:r>
      <w:r>
        <w:t xml:space="preserve">Availability</w:t>
      </w:r>
      <w:r>
        <w:t xml:space="preserve"> </w:t>
      </w:r>
      <w:r>
        <w:t xml:space="preserve">of</w:t>
      </w:r>
      <w:r>
        <w:t xml:space="preserve"> </w:t>
      </w:r>
      <w:r>
        <w:t xml:space="preserve">De</w:t>
      </w:r>
      <w:r>
        <w:t xml:space="preserve"> </w:t>
      </w:r>
      <w:r>
        <w:t xml:space="preserve">Novo</w:t>
      </w:r>
      <w:r>
        <w:t xml:space="preserve"> </w:t>
      </w:r>
      <w:r>
        <w:t xml:space="preserve">Generated</w:t>
      </w:r>
      <w:r>
        <w:t xml:space="preserve"> </w:t>
      </w:r>
      <w:r>
        <w:t xml:space="preserve">Eukaryotic</w:t>
      </w:r>
      <w:r>
        <w:t xml:space="preserve"> </w:t>
      </w:r>
      <w:r>
        <w:t xml:space="preserve">Transcriptomes</w:t>
      </w:r>
      <w:r>
        <w:t xml:space="preserve">.”</w:t>
      </w:r>
      <w:r>
        <w:t xml:space="preserve"> </w:t>
      </w:r>
      <w:r>
        <w:rPr>
          <w:i/>
          <w:iCs/>
        </w:rPr>
        <w:t xml:space="preserve">Frontiers in Genetics</w:t>
      </w:r>
      <w:r>
        <w:t xml:space="preserve"> </w:t>
      </w:r>
      <w:r>
        <w:t xml:space="preserve">6 (January): 361.</w:t>
      </w:r>
      <w:r>
        <w:t xml:space="preserve"> </w:t>
      </w:r>
      <w:hyperlink r:id="rId86">
        <w:r>
          <w:rPr>
            <w:rStyle w:val="Hyperlink"/>
          </w:rPr>
          <w:t xml:space="preserve">https://doi.org/10.3389/fgene.2015.00361</w:t>
        </w:r>
      </w:hyperlink>
      <w:r>
        <w:t xml:space="preserve">.</w:t>
      </w:r>
    </w:p>
    <w:bookmarkEnd w:id="87"/>
    <w:bookmarkStart w:id="89" w:name="ref-opulente_genomic_2023"/>
    <w:p>
      <w:pPr>
        <w:pStyle w:val="Bibliography"/>
      </w:pPr>
      <w:r>
        <w:t xml:space="preserve">Opulente, Dana A., Abigail Leavitt LaBella, Marie-Claire Harrison, John F. Wolters, Chao Liu, Yonglin Li, Jacek Kominek, et al. 2023.</w:t>
      </w:r>
      <w:r>
        <w:t xml:space="preserve"> </w:t>
      </w:r>
      <w:r>
        <w:t xml:space="preserve">“Genomic and Ecological Factors Shaping Specialism and Generalism Across an Entire Subphylum.”</w:t>
      </w:r>
      <w:r>
        <w:t xml:space="preserve"> </w:t>
      </w:r>
      <w:hyperlink r:id="rId88">
        <w:r>
          <w:rPr>
            <w:rStyle w:val="Hyperlink"/>
          </w:rPr>
          <w:t xml:space="preserve">https://doi.org/10.1101/2023.06.19.545611</w:t>
        </w:r>
      </w:hyperlink>
      <w:r>
        <w:t xml:space="preserve">.</w:t>
      </w:r>
    </w:p>
    <w:bookmarkEnd w:id="89"/>
    <w:bookmarkStart w:id="91" w:name="ref-annotation"/>
    <w:p>
      <w:pPr>
        <w:pStyle w:val="Bibliography"/>
      </w:pPr>
      <w:r>
        <w:t xml:space="preserve">Pagès, Hervé, Marc Carlson, Seth Falcon, and Nianhua Li. 2024.</w:t>
      </w:r>
      <w:r>
        <w:t xml:space="preserve"> </w:t>
      </w:r>
      <w:r>
        <w:rPr>
          <w:i/>
          <w:iCs/>
        </w:rPr>
        <w:t xml:space="preserve">AnnotationDbi: Manipulation of SQLite-Based Annotations in Bioconductor</w:t>
      </w:r>
      <w:r>
        <w:t xml:space="preserve">.</w:t>
      </w:r>
      <w:r>
        <w:t xml:space="preserve"> </w:t>
      </w:r>
      <w:hyperlink r:id="rId90">
        <w:r>
          <w:rPr>
            <w:rStyle w:val="Hyperlink"/>
          </w:rPr>
          <w:t xml:space="preserve">https://bioconductor.org/packages/AnnotationDbi</w:t>
        </w:r>
      </w:hyperlink>
      <w:r>
        <w:t xml:space="preserve">.</w:t>
      </w:r>
    </w:p>
    <w:bookmarkEnd w:id="91"/>
    <w:bookmarkStart w:id="93" w:name="ref-palmer_funannotate_2020"/>
    <w:p>
      <w:pPr>
        <w:pStyle w:val="Bibliography"/>
      </w:pPr>
      <w:r>
        <w:t xml:space="preserve">Palmer, Jonathan M., and Jason Stajich. 2020.</w:t>
      </w:r>
      <w:r>
        <w:t xml:space="preserve"> </w:t>
      </w:r>
      <w:r>
        <w:t xml:space="preserve">“Funannotate V1.8.1:</w:t>
      </w:r>
      <w:r>
        <w:t xml:space="preserve"> </w:t>
      </w:r>
      <w:r>
        <w:t xml:space="preserve">Eukaryotic</w:t>
      </w:r>
      <w:r>
        <w:t xml:space="preserve"> </w:t>
      </w:r>
      <w:r>
        <w:t xml:space="preserve">Genome Annotation.”</w:t>
      </w:r>
      <w:r>
        <w:t xml:space="preserve"> </w:t>
      </w:r>
      <w:r>
        <w:t xml:space="preserve">Zenodo.</w:t>
      </w:r>
      <w:r>
        <w:t xml:space="preserve"> </w:t>
      </w:r>
      <w:hyperlink r:id="rId92">
        <w:r>
          <w:rPr>
            <w:rStyle w:val="Hyperlink"/>
          </w:rPr>
          <w:t xml:space="preserve">https://doi.org/10.5281/ZENODO.4054262</w:t>
        </w:r>
      </w:hyperlink>
      <w:r>
        <w:t xml:space="preserve">.</w:t>
      </w:r>
    </w:p>
    <w:bookmarkEnd w:id="93"/>
    <w:bookmarkStart w:id="95" w:name="ref-pereira_chromate_2008"/>
    <w:p>
      <w:pPr>
        <w:pStyle w:val="Bibliography"/>
      </w:pPr>
      <w:r>
        <w:t xml:space="preserve">Pereira, Yannick, Gilles Lagniel, Emmanuel Godat, Peggy Baudouin-Cornu, Christophe Junot, and Jean Labarre. 2008.</w:t>
      </w:r>
      <w:r>
        <w:t xml:space="preserve"> </w:t>
      </w:r>
      <w:r>
        <w:t xml:space="preserve">“Chromate</w:t>
      </w:r>
      <w:r>
        <w:t xml:space="preserve"> </w:t>
      </w:r>
      <w:r>
        <w:t xml:space="preserve">Causes</w:t>
      </w:r>
      <w:r>
        <w:t xml:space="preserve"> </w:t>
      </w:r>
      <w:r>
        <w:t xml:space="preserve">Sulfur</w:t>
      </w:r>
      <w:r>
        <w:t xml:space="preserve"> </w:t>
      </w:r>
      <w:r>
        <w:t xml:space="preserve">Starvation</w:t>
      </w:r>
      <w:r>
        <w:t xml:space="preserve"> </w:t>
      </w:r>
      <w:r>
        <w:t xml:space="preserve">in</w:t>
      </w:r>
      <w:r>
        <w:t xml:space="preserve"> </w:t>
      </w:r>
      <w:r>
        <w:t xml:space="preserve">Yeast</w:t>
      </w:r>
      <w:r>
        <w:t xml:space="preserve">.”</w:t>
      </w:r>
      <w:r>
        <w:t xml:space="preserve"> </w:t>
      </w:r>
      <w:r>
        <w:rPr>
          <w:i/>
          <w:iCs/>
        </w:rPr>
        <w:t xml:space="preserve">Toxicological Sciences</w:t>
      </w:r>
      <w:r>
        <w:t xml:space="preserve"> </w:t>
      </w:r>
      <w:r>
        <w:t xml:space="preserve">106 (2): 400–412.</w:t>
      </w:r>
      <w:r>
        <w:t xml:space="preserve"> </w:t>
      </w:r>
      <w:hyperlink r:id="rId94">
        <w:r>
          <w:rPr>
            <w:rStyle w:val="Hyperlink"/>
          </w:rPr>
          <w:t xml:space="preserve">https://doi.org/10.1093/toxsci/kfn193</w:t>
        </w:r>
      </w:hyperlink>
      <w:r>
        <w:t xml:space="preserve">.</w:t>
      </w:r>
    </w:p>
    <w:bookmarkEnd w:id="95"/>
    <w:bookmarkStart w:id="97" w:name="ref-pritsch_two_way_2024"/>
    <w:p>
      <w:pPr>
        <w:pStyle w:val="Bibliography"/>
      </w:pPr>
      <w:r>
        <w:t xml:space="preserve">Pritsch, Eduardo J. P., Danielli Schutz, Camila G. De Oliveira, Aline F. Camargo, Liziara C. Cabrera, Angela A. Dos Santos, Altemir J. Mossi, Helen Treichel, and Sérgio L. Alves. 2024.</w:t>
      </w:r>
      <w:r>
        <w:t xml:space="preserve"> </w:t>
      </w:r>
      <w:r>
        <w:t xml:space="preserve">“A</w:t>
      </w:r>
      <w:r>
        <w:t xml:space="preserve"> </w:t>
      </w:r>
      <w:r>
        <w:t xml:space="preserve">Two</w:t>
      </w:r>
      <w:r>
        <w:t xml:space="preserve">-</w:t>
      </w:r>
      <w:r>
        <w:t xml:space="preserve">Way</w:t>
      </w:r>
      <w:r>
        <w:t xml:space="preserve"> </w:t>
      </w:r>
      <w:r>
        <w:t xml:space="preserve">Street</w:t>
      </w:r>
      <w:r>
        <w:t xml:space="preserve">:</w:t>
      </w:r>
      <w:r>
        <w:t xml:space="preserve"> </w:t>
      </w:r>
      <w:r>
        <w:t xml:space="preserve">How</w:t>
      </w:r>
      <w:r>
        <w:t xml:space="preserve"> </w:t>
      </w:r>
      <w:r>
        <w:t xml:space="preserve">Are</w:t>
      </w:r>
      <w:r>
        <w:t xml:space="preserve"> </w:t>
      </w:r>
      <w:r>
        <w:t xml:space="preserve">Yeasts</w:t>
      </w:r>
      <w:r>
        <w:t xml:space="preserve"> </w:t>
      </w:r>
      <w:r>
        <w:t xml:space="preserve">Impacted</w:t>
      </w:r>
      <w:r>
        <w:t xml:space="preserve"> </w:t>
      </w:r>
      <w:r>
        <w:t xml:space="preserve">by</w:t>
      </w:r>
      <w:r>
        <w:t xml:space="preserve"> </w:t>
      </w:r>
      <w:r>
        <w:t xml:space="preserve">Pesticides</w:t>
      </w:r>
      <w:r>
        <w:t xml:space="preserve"> </w:t>
      </w:r>
      <w:r>
        <w:t xml:space="preserve">and</w:t>
      </w:r>
      <w:r>
        <w:t xml:space="preserve"> </w:t>
      </w:r>
      <w:r>
        <w:t xml:space="preserve">How</w:t>
      </w:r>
      <w:r>
        <w:t xml:space="preserve"> </w:t>
      </w:r>
      <w:r>
        <w:t xml:space="preserve">Can</w:t>
      </w:r>
      <w:r>
        <w:t xml:space="preserve"> </w:t>
      </w:r>
      <w:r>
        <w:t xml:space="preserve">They</w:t>
      </w:r>
      <w:r>
        <w:t xml:space="preserve"> </w:t>
      </w:r>
      <w:r>
        <w:t xml:space="preserve">Help</w:t>
      </w:r>
      <w:r>
        <w:t xml:space="preserve"> </w:t>
      </w:r>
      <w:r>
        <w:t xml:space="preserve">Solve</w:t>
      </w:r>
      <w:r>
        <w:t xml:space="preserve"> </w:t>
      </w:r>
      <w:r>
        <w:t xml:space="preserve">Agrochemical</w:t>
      </w:r>
      <w:r>
        <w:t xml:space="preserve"> </w:t>
      </w:r>
      <w:r>
        <w:t xml:space="preserve">Contamination</w:t>
      </w:r>
      <w:r>
        <w:t xml:space="preserve"> </w:t>
      </w:r>
      <w:r>
        <w:t xml:space="preserve">Problems</w:t>
      </w:r>
      <w:r>
        <w:t xml:space="preserve">?”</w:t>
      </w:r>
      <w:r>
        <w:t xml:space="preserve"> </w:t>
      </w:r>
      <w:r>
        <w:rPr>
          <w:i/>
          <w:iCs/>
        </w:rPr>
        <w:t xml:space="preserve">Processes</w:t>
      </w:r>
      <w:r>
        <w:t xml:space="preserve"> </w:t>
      </w:r>
      <w:r>
        <w:t xml:space="preserve">12 (11): 2555.</w:t>
      </w:r>
      <w:r>
        <w:t xml:space="preserve"> </w:t>
      </w:r>
      <w:hyperlink r:id="rId96">
        <w:r>
          <w:rPr>
            <w:rStyle w:val="Hyperlink"/>
          </w:rPr>
          <w:t xml:space="preserve">https://doi.org/10.3390/pr12112555</w:t>
        </w:r>
      </w:hyperlink>
      <w:r>
        <w:t xml:space="preserve">.</w:t>
      </w:r>
    </w:p>
    <w:bookmarkEnd w:id="97"/>
    <w:bookmarkStart w:id="99" w:name="ref-riley_comparative_2016"/>
    <w:p>
      <w:pPr>
        <w:pStyle w:val="Bibliography"/>
      </w:pPr>
      <w:r>
        <w:t xml:space="preserve">Riley, Robert, Sajeet Haridas, Kenneth H. Wolfe, Mariana R. Lopes, Chris Todd Hittinger, Markus Göker, Asaf A. Salamov, et al. 2016.</w:t>
      </w:r>
      <w:r>
        <w:t xml:space="preserve"> </w:t>
      </w:r>
      <w:r>
        <w:t xml:space="preserve">“Comparative Genomics of Biotechnologically Important Yeasts.”</w:t>
      </w:r>
      <w:r>
        <w:t xml:space="preserve"> </w:t>
      </w:r>
      <w:r>
        <w:rPr>
          <w:i/>
          <w:iCs/>
        </w:rPr>
        <w:t xml:space="preserve">Proceedings of the National Academy of Sciences of the United States of America</w:t>
      </w:r>
      <w:r>
        <w:t xml:space="preserve"> </w:t>
      </w:r>
      <w:r>
        <w:t xml:space="preserve">113 (35): 9882–87.</w:t>
      </w:r>
      <w:r>
        <w:t xml:space="preserve"> </w:t>
      </w:r>
      <w:hyperlink r:id="rId98">
        <w:r>
          <w:rPr>
            <w:rStyle w:val="Hyperlink"/>
          </w:rPr>
          <w:t xml:space="preserve">https://doi.org/10.1073/pnas.1603941113</w:t>
        </w:r>
      </w:hyperlink>
      <w:r>
        <w:t xml:space="preserve">.</w:t>
      </w:r>
    </w:p>
    <w:bookmarkEnd w:id="99"/>
    <w:bookmarkStart w:id="101" w:name="ref-satam_next_generation_2023"/>
    <w:p>
      <w:pPr>
        <w:pStyle w:val="Bibliography"/>
      </w:pPr>
      <w:r>
        <w:t xml:space="preserve">Satam, Heena, Kandarp Joshi, Upasana Mangrolia, Sanober Waghoo, Gulnaz Zaidi, Shravani Rawool, Ritesh P. Thakare, et al. 2023.</w:t>
      </w:r>
      <w:r>
        <w:t xml:space="preserve"> </w:t>
      </w:r>
      <w:r>
        <w:t xml:space="preserve">“Next-</w:t>
      </w:r>
      <w:r>
        <w:t xml:space="preserve">Generation</w:t>
      </w:r>
      <w:r>
        <w:t xml:space="preserve"> </w:t>
      </w:r>
      <w:r>
        <w:t xml:space="preserve">Sequencing</w:t>
      </w:r>
      <w:r>
        <w:t xml:space="preserve"> </w:t>
      </w:r>
      <w:r>
        <w:t xml:space="preserve">Technology</w:t>
      </w:r>
      <w:r>
        <w:t xml:space="preserve">:</w:t>
      </w:r>
      <w:r>
        <w:t xml:space="preserve"> </w:t>
      </w:r>
      <w:r>
        <w:t xml:space="preserve">Current</w:t>
      </w:r>
      <w:r>
        <w:t xml:space="preserve"> </w:t>
      </w:r>
      <w:r>
        <w:t xml:space="preserve">Trends</w:t>
      </w:r>
      <w:r>
        <w:t xml:space="preserve"> </w:t>
      </w:r>
      <w:r>
        <w:t xml:space="preserve">and</w:t>
      </w:r>
      <w:r>
        <w:t xml:space="preserve"> </w:t>
      </w:r>
      <w:r>
        <w:t xml:space="preserve">Advancements</w:t>
      </w:r>
      <w:r>
        <w:t xml:space="preserve">.”</w:t>
      </w:r>
      <w:r>
        <w:t xml:space="preserve"> </w:t>
      </w:r>
      <w:r>
        <w:rPr>
          <w:i/>
          <w:iCs/>
        </w:rPr>
        <w:t xml:space="preserve">Biology</w:t>
      </w:r>
      <w:r>
        <w:t xml:space="preserve"> </w:t>
      </w:r>
      <w:r>
        <w:t xml:space="preserve">12 (7): 997.</w:t>
      </w:r>
      <w:r>
        <w:t xml:space="preserve"> </w:t>
      </w:r>
      <w:hyperlink r:id="rId100">
        <w:r>
          <w:rPr>
            <w:rStyle w:val="Hyperlink"/>
          </w:rPr>
          <w:t xml:space="preserve">https://doi.org/10.3390/biology12070997</w:t>
        </w:r>
      </w:hyperlink>
      <w:r>
        <w:t xml:space="preserve">.</w:t>
      </w:r>
    </w:p>
    <w:bookmarkEnd w:id="101"/>
    <w:bookmarkStart w:id="103" w:name="ref-shen_tempo_2018"/>
    <w:p>
      <w:pPr>
        <w:pStyle w:val="Bibliography"/>
      </w:pPr>
      <w:r>
        <w:t xml:space="preserve">Shen, Xing-Xing, Dana A. Opulente, Jacek Kominek, Xiaofan Zhou, Jacob L. Steenwyk, Kelly V. Buh, Max A. B. Haase, et al. 2018.</w:t>
      </w:r>
      <w:r>
        <w:t xml:space="preserve"> </w:t>
      </w:r>
      <w:r>
        <w:t xml:space="preserve">“Tempo and</w:t>
      </w:r>
      <w:r>
        <w:t xml:space="preserve"> </w:t>
      </w:r>
      <w:r>
        <w:t xml:space="preserve">Mode</w:t>
      </w:r>
      <w:r>
        <w:t xml:space="preserve"> </w:t>
      </w:r>
      <w:r>
        <w:t xml:space="preserve">of</w:t>
      </w:r>
      <w:r>
        <w:t xml:space="preserve"> </w:t>
      </w:r>
      <w:r>
        <w:t xml:space="preserve">Genome</w:t>
      </w:r>
      <w:r>
        <w:t xml:space="preserve"> </w:t>
      </w:r>
      <w:r>
        <w:t xml:space="preserve">Evolution</w:t>
      </w:r>
      <w:r>
        <w:t xml:space="preserve"> </w:t>
      </w:r>
      <w:r>
        <w:t xml:space="preserve">in the</w:t>
      </w:r>
      <w:r>
        <w:t xml:space="preserve"> </w:t>
      </w:r>
      <w:r>
        <w:t xml:space="preserve">Budding</w:t>
      </w:r>
      <w:r>
        <w:t xml:space="preserve"> </w:t>
      </w:r>
      <w:r>
        <w:t xml:space="preserve">Yeast</w:t>
      </w:r>
      <w:r>
        <w:t xml:space="preserve"> </w:t>
      </w:r>
      <w:r>
        <w:t xml:space="preserve">Subphylum</w:t>
      </w:r>
      <w:r>
        <w:t xml:space="preserve">.”</w:t>
      </w:r>
      <w:r>
        <w:t xml:space="preserve"> </w:t>
      </w:r>
      <w:r>
        <w:rPr>
          <w:i/>
          <w:iCs/>
        </w:rPr>
        <w:t xml:space="preserve">Cell</w:t>
      </w:r>
      <w:r>
        <w:t xml:space="preserve"> </w:t>
      </w:r>
      <w:r>
        <w:t xml:space="preserve">175 (6): 1533–1545.e20.</w:t>
      </w:r>
      <w:r>
        <w:t xml:space="preserve"> </w:t>
      </w:r>
      <w:hyperlink r:id="rId102">
        <w:r>
          <w:rPr>
            <w:rStyle w:val="Hyperlink"/>
          </w:rPr>
          <w:t xml:space="preserve">https://doi.org/10.1016/j.cell.2018.10.023</w:t>
        </w:r>
      </w:hyperlink>
      <w:r>
        <w:t xml:space="preserve">.</w:t>
      </w:r>
    </w:p>
    <w:bookmarkEnd w:id="103"/>
    <w:bookmarkStart w:id="105" w:name="ref-BUSCO"/>
    <w:p>
      <w:pPr>
        <w:pStyle w:val="Bibliography"/>
      </w:pPr>
      <w:r>
        <w:t xml:space="preserve">Simão, Felipe A., Robert M. Waterhouse, Panagiotis Ioannidis, Evgenia V. Kriventseva, and Evgeny M. Zdobnov. 2015.</w:t>
      </w:r>
      <w:r>
        <w:t xml:space="preserve"> </w:t>
      </w:r>
      <w:r>
        <w:t xml:space="preserve">“BUSCO: Assessing Genome Assembly and Annotation Completeness with Single-Copy Orthologs.”</w:t>
      </w:r>
      <w:r>
        <w:t xml:space="preserve"> </w:t>
      </w:r>
      <w:r>
        <w:rPr>
          <w:i/>
          <w:iCs/>
        </w:rPr>
        <w:t xml:space="preserve">Bioinformatics</w:t>
      </w:r>
      <w:r>
        <w:t xml:space="preserve"> </w:t>
      </w:r>
      <w:r>
        <w:t xml:space="preserve">31 (19): 3210–12.</w:t>
      </w:r>
      <w:r>
        <w:t xml:space="preserve"> </w:t>
      </w:r>
      <w:hyperlink r:id="rId104">
        <w:r>
          <w:rPr>
            <w:rStyle w:val="Hyperlink"/>
          </w:rPr>
          <w:t xml:space="preserve">https://doi.org/10.1093/bioinformatics/btv351</w:t>
        </w:r>
      </w:hyperlink>
      <w:r>
        <w:t xml:space="preserve">.</w:t>
      </w:r>
    </w:p>
    <w:bookmarkEnd w:id="105"/>
    <w:bookmarkStart w:id="107" w:name="ref-sun_designing_2019"/>
    <w:p>
      <w:pPr>
        <w:pStyle w:val="Bibliography"/>
      </w:pPr>
      <w:r>
        <w:t xml:space="preserve">Sun, George L., Erin E. Reynolds, and Angela M. Belcher. 2019.</w:t>
      </w:r>
      <w:r>
        <w:t xml:space="preserve"> </w:t>
      </w:r>
      <w:r>
        <w:t xml:space="preserve">“Designing Yeast as Plant-Like Hyperaccumulators for Heavy Metals.”</w:t>
      </w:r>
      <w:r>
        <w:t xml:space="preserve"> </w:t>
      </w:r>
      <w:r>
        <w:rPr>
          <w:i/>
          <w:iCs/>
        </w:rPr>
        <w:t xml:space="preserve">Nature Communications</w:t>
      </w:r>
      <w:r>
        <w:t xml:space="preserve"> </w:t>
      </w:r>
      <w:r>
        <w:t xml:space="preserve">10 (1): 5080.</w:t>
      </w:r>
      <w:r>
        <w:t xml:space="preserve"> </w:t>
      </w:r>
      <w:hyperlink r:id="rId106">
        <w:r>
          <w:rPr>
            <w:rStyle w:val="Hyperlink"/>
          </w:rPr>
          <w:t xml:space="preserve">https://doi.org/10.1038/s41467-019-13093-6</w:t>
        </w:r>
      </w:hyperlink>
      <w:r>
        <w:t xml:space="preserve">.</w:t>
      </w:r>
    </w:p>
    <w:bookmarkEnd w:id="107"/>
    <w:bookmarkStart w:id="109" w:name="ref-telford_phylogenomic_2015"/>
    <w:p>
      <w:pPr>
        <w:pStyle w:val="Bibliography"/>
      </w:pPr>
      <w:r>
        <w:t xml:space="preserve">Telford, Maximilian J., Graham E. Budd, and Hervé Philippe. 2015.</w:t>
      </w:r>
      <w:r>
        <w:t xml:space="preserve"> </w:t>
      </w:r>
      <w:r>
        <w:t xml:space="preserve">“Phylogenomic</w:t>
      </w:r>
      <w:r>
        <w:t xml:space="preserve"> </w:t>
      </w:r>
      <w:r>
        <w:t xml:space="preserve">Insights</w:t>
      </w:r>
      <w:r>
        <w:t xml:space="preserve"> </w:t>
      </w:r>
      <w:r>
        <w:t xml:space="preserve">into</w:t>
      </w:r>
      <w:r>
        <w:t xml:space="preserve"> </w:t>
      </w:r>
      <w:r>
        <w:t xml:space="preserve">Animal</w:t>
      </w:r>
      <w:r>
        <w:t xml:space="preserve"> </w:t>
      </w:r>
      <w:r>
        <w:t xml:space="preserve">Evolution</w:t>
      </w:r>
      <w:r>
        <w:t xml:space="preserve">.”</w:t>
      </w:r>
      <w:r>
        <w:t xml:space="preserve"> </w:t>
      </w:r>
      <w:r>
        <w:rPr>
          <w:i/>
          <w:iCs/>
        </w:rPr>
        <w:t xml:space="preserve">Current Biology</w:t>
      </w:r>
      <w:r>
        <w:t xml:space="preserve"> </w:t>
      </w:r>
      <w:r>
        <w:t xml:space="preserve">25 (19): R876–87.</w:t>
      </w:r>
      <w:r>
        <w:t xml:space="preserve"> </w:t>
      </w:r>
      <w:hyperlink r:id="rId108">
        <w:r>
          <w:rPr>
            <w:rStyle w:val="Hyperlink"/>
          </w:rPr>
          <w:t xml:space="preserve">https://doi.org/10.1016/j.cub.2015.07.060</w:t>
        </w:r>
      </w:hyperlink>
      <w:r>
        <w:t xml:space="preserve">.</w:t>
      </w:r>
    </w:p>
    <w:bookmarkEnd w:id="109"/>
    <w:bookmarkStart w:id="111" w:name="X28a15c0a0399f7901508af41ee3123cbec525f0"/>
    <w:p>
      <w:pPr>
        <w:pStyle w:val="Bibliography"/>
      </w:pPr>
      <w:r>
        <w:t xml:space="preserve">The Gene Ontology Consortium, Suzi A Aleksander, James Balhoff, Seth Carbon, J Michael Cherry, Harold J Drabkin, Dustin Ebert, et al. 2023.</w:t>
      </w:r>
      <w:r>
        <w:t xml:space="preserve"> </w:t>
      </w:r>
      <w:r>
        <w:t xml:space="preserve">“The</w:t>
      </w:r>
      <w:r>
        <w:t xml:space="preserve"> </w:t>
      </w:r>
      <w:r>
        <w:t xml:space="preserve">Gene</w:t>
      </w:r>
      <w:r>
        <w:t xml:space="preserve"> </w:t>
      </w:r>
      <w:r>
        <w:t xml:space="preserve">Ontology</w:t>
      </w:r>
      <w:r>
        <w:t xml:space="preserve"> </w:t>
      </w:r>
      <w:r>
        <w:t xml:space="preserve">Knowledgebase in 2023.”</w:t>
      </w:r>
      <w:r>
        <w:t xml:space="preserve"> </w:t>
      </w:r>
      <w:r>
        <w:t xml:space="preserve">Edited by A Baryshnikova.</w:t>
      </w:r>
      <w:r>
        <w:t xml:space="preserve"> </w:t>
      </w:r>
      <w:r>
        <w:rPr>
          <w:i/>
          <w:iCs/>
        </w:rPr>
        <w:t xml:space="preserve">GENETICS</w:t>
      </w:r>
      <w:r>
        <w:t xml:space="preserve"> </w:t>
      </w:r>
      <w:r>
        <w:t xml:space="preserve">224 (1): iyad031.</w:t>
      </w:r>
      <w:r>
        <w:t xml:space="preserve"> </w:t>
      </w:r>
      <w:hyperlink r:id="rId110">
        <w:r>
          <w:rPr>
            <w:rStyle w:val="Hyperlink"/>
          </w:rPr>
          <w:t xml:space="preserve">https://doi.org/10.1093/genetics/iyad031</w:t>
        </w:r>
      </w:hyperlink>
      <w:r>
        <w:t xml:space="preserve">.</w:t>
      </w:r>
    </w:p>
    <w:bookmarkEnd w:id="111"/>
    <w:bookmarkStart w:id="113" w:name="ref-tullio_yeast_2022"/>
    <w:p>
      <w:pPr>
        <w:pStyle w:val="Bibliography"/>
      </w:pPr>
      <w:r>
        <w:t xml:space="preserve">Tullio, Vivian. 2022.</w:t>
      </w:r>
      <w:r>
        <w:t xml:space="preserve"> </w:t>
      </w:r>
      <w:r>
        <w:t xml:space="preserve">“Yeast</w:t>
      </w:r>
      <w:r>
        <w:t xml:space="preserve"> </w:t>
      </w:r>
      <w:r>
        <w:t xml:space="preserve">Genomics</w:t>
      </w:r>
      <w:r>
        <w:t xml:space="preserve"> </w:t>
      </w:r>
      <w:r>
        <w:t xml:space="preserve">and</w:t>
      </w:r>
      <w:r>
        <w:t xml:space="preserve"> </w:t>
      </w:r>
      <w:r>
        <w:t xml:space="preserve">Its</w:t>
      </w:r>
      <w:r>
        <w:t xml:space="preserve"> </w:t>
      </w:r>
      <w:r>
        <w:t xml:space="preserve">Applications</w:t>
      </w:r>
      <w:r>
        <w:t xml:space="preserve"> </w:t>
      </w:r>
      <w:r>
        <w:t xml:space="preserve">in</w:t>
      </w:r>
      <w:r>
        <w:t xml:space="preserve"> </w:t>
      </w:r>
      <w:r>
        <w:t xml:space="preserve">Biotechnological</w:t>
      </w:r>
      <w:r>
        <w:t xml:space="preserve"> </w:t>
      </w:r>
      <w:r>
        <w:t xml:space="preserve">Processes</w:t>
      </w:r>
      <w:r>
        <w:t xml:space="preserve">:</w:t>
      </w:r>
      <w:r>
        <w:t xml:space="preserve"> </w:t>
      </w:r>
      <w:r>
        <w:t xml:space="preserve">What</w:t>
      </w:r>
      <w:r>
        <w:t xml:space="preserve"> </w:t>
      </w:r>
      <w:r>
        <w:t xml:space="preserve">Is</w:t>
      </w:r>
      <w:r>
        <w:t xml:space="preserve"> </w:t>
      </w:r>
      <w:r>
        <w:t xml:space="preserve">Our</w:t>
      </w:r>
      <w:r>
        <w:t xml:space="preserve"> </w:t>
      </w:r>
      <w:r>
        <w:t xml:space="preserve">Present</w:t>
      </w:r>
      <w:r>
        <w:t xml:space="preserve"> </w:t>
      </w:r>
      <w:r>
        <w:t xml:space="preserve">and</w:t>
      </w:r>
      <w:r>
        <w:t xml:space="preserve"> </w:t>
      </w:r>
      <w:r>
        <w:t xml:space="preserve">Near</w:t>
      </w:r>
      <w:r>
        <w:t xml:space="preserve"> </w:t>
      </w:r>
      <w:r>
        <w:t xml:space="preserve">Future</w:t>
      </w:r>
      <w:r>
        <w:t xml:space="preserve">?”</w:t>
      </w:r>
      <w:r>
        <w:t xml:space="preserve"> </w:t>
      </w:r>
      <w:r>
        <w:rPr>
          <w:i/>
          <w:iCs/>
        </w:rPr>
        <w:t xml:space="preserve">Journal of Fungi</w:t>
      </w:r>
      <w:r>
        <w:t xml:space="preserve"> </w:t>
      </w:r>
      <w:r>
        <w:t xml:space="preserve">8 (7): 752.</w:t>
      </w:r>
      <w:r>
        <w:t xml:space="preserve"> </w:t>
      </w:r>
      <w:hyperlink r:id="rId112">
        <w:r>
          <w:rPr>
            <w:rStyle w:val="Hyperlink"/>
          </w:rPr>
          <w:t xml:space="preserve">https://doi.org/10.3390/jof8070752</w:t>
        </w:r>
      </w:hyperlink>
      <w:r>
        <w:t xml:space="preserve">.</w:t>
      </w:r>
    </w:p>
    <w:bookmarkEnd w:id="113"/>
    <w:bookmarkStart w:id="115" w:name="ref-valinhas_xylose_2018"/>
    <w:p>
      <w:pPr>
        <w:pStyle w:val="Bibliography"/>
      </w:pPr>
      <w:r>
        <w:t xml:space="preserve">Valinhas, Raquel V., Lílian A. Pantoja, Ana Carolina F. Maia, Maria Gabriela C. P. Miguel, Ana Paula F. C. Vanzela, David L. Nelson, and Alexandre S. Santos. 2018.</w:t>
      </w:r>
      <w:r>
        <w:t xml:space="preserve"> </w:t>
      </w:r>
      <w:r>
        <w:t xml:space="preserve">“Xylose Fermentation to Ethanol by New</w:t>
      </w:r>
      <w:r>
        <w:t xml:space="preserve"> </w:t>
      </w:r>
      <w:r>
        <w:t xml:space="preserve">Galactomyces</w:t>
      </w:r>
      <w:r>
        <w:t xml:space="preserve"> </w:t>
      </w:r>
      <w:r>
        <w:t xml:space="preserve">Geotrichum and</w:t>
      </w:r>
      <w:r>
        <w:t xml:space="preserve"> </w:t>
      </w:r>
      <w:r>
        <w:t xml:space="preserve">Candida</w:t>
      </w:r>
      <w:r>
        <w:t xml:space="preserve"> </w:t>
      </w:r>
      <w:r>
        <w:t xml:space="preserve">Akabanensis Strains.”</w:t>
      </w:r>
      <w:r>
        <w:t xml:space="preserve"> </w:t>
      </w:r>
      <w:r>
        <w:rPr>
          <w:i/>
          <w:iCs/>
        </w:rPr>
        <w:t xml:space="preserve">PeerJ</w:t>
      </w:r>
      <w:r>
        <w:t xml:space="preserve"> </w:t>
      </w:r>
      <w:r>
        <w:t xml:space="preserve">6: e4673.</w:t>
      </w:r>
      <w:r>
        <w:t xml:space="preserve"> </w:t>
      </w:r>
      <w:hyperlink r:id="rId114">
        <w:r>
          <w:rPr>
            <w:rStyle w:val="Hyperlink"/>
          </w:rPr>
          <w:t xml:space="preserve">https://doi.org/10.7717/peerj.4673</w:t>
        </w:r>
      </w:hyperlink>
      <w:r>
        <w:t xml:space="preserve">.</w:t>
      </w:r>
    </w:p>
    <w:bookmarkEnd w:id="115"/>
    <w:bookmarkStart w:id="117" w:name="ref-vereecke_open_source_2025"/>
    <w:p>
      <w:pPr>
        <w:pStyle w:val="Bibliography"/>
      </w:pPr>
      <w:r>
        <w:t xml:space="preserve">Vereecke, Nick, Thomas B. Yoon, Ting L. Luo, Brendan W. Corey, Francois Lebreton, Patrick T. Mc Gann, and John P. Dekker. 2025.</w:t>
      </w:r>
      <w:r>
        <w:t xml:space="preserve"> </w:t>
      </w:r>
      <w:r>
        <w:t xml:space="preserve">“An Open-Source Nanopore-Only Sequencing Workflow for Analysis of Clonal Outbreaks Delivers Short-Read Level Accuracy.”</w:t>
      </w:r>
      <w:r>
        <w:t xml:space="preserve"> </w:t>
      </w:r>
      <w:r>
        <w:t xml:space="preserve">Edited by Daniel J. Diekema.</w:t>
      </w:r>
      <w:r>
        <w:t xml:space="preserve"> </w:t>
      </w:r>
      <w:r>
        <w:rPr>
          <w:i/>
          <w:iCs/>
        </w:rPr>
        <w:t xml:space="preserve">Journal of Clinical Microbiology</w:t>
      </w:r>
      <w:r>
        <w:t xml:space="preserve"> </w:t>
      </w:r>
      <w:r>
        <w:t xml:space="preserve">63 (8): e00664–25.</w:t>
      </w:r>
      <w:r>
        <w:t xml:space="preserve"> </w:t>
      </w:r>
      <w:hyperlink r:id="rId116">
        <w:r>
          <w:rPr>
            <w:rStyle w:val="Hyperlink"/>
          </w:rPr>
          <w:t xml:space="preserve">https://doi.org/10.1128/jcm.00664-25</w:t>
        </w:r>
      </w:hyperlink>
      <w:r>
        <w:t xml:space="preserve">.</w:t>
      </w:r>
    </w:p>
    <w:bookmarkEnd w:id="117"/>
    <w:bookmarkStart w:id="119" w:name="ref-vorderman_sequali_2024"/>
    <w:p>
      <w:pPr>
        <w:pStyle w:val="Bibliography"/>
      </w:pPr>
      <w:r>
        <w:t xml:space="preserve">Vorderman, Ruben H P. 2024.</w:t>
      </w:r>
      <w:r>
        <w:t xml:space="preserve"> </w:t>
      </w:r>
      <w:r>
        <w:t xml:space="preserve">“Sequali: Efficient and Comprehensive Quality Control of Short- and Long-Read Sequencing Data.”</w:t>
      </w:r>
      <w:r>
        <w:t xml:space="preserve"> </w:t>
      </w:r>
      <w:r>
        <w:t xml:space="preserve">Edited by Anna-Sophie Fiston-Lavier.</w:t>
      </w:r>
      <w:r>
        <w:t xml:space="preserve"> </w:t>
      </w:r>
      <w:r>
        <w:rPr>
          <w:i/>
          <w:iCs/>
        </w:rPr>
        <w:t xml:space="preserve">Bioinformatics Advances</w:t>
      </w:r>
      <w:r>
        <w:t xml:space="preserve"> </w:t>
      </w:r>
      <w:r>
        <w:t xml:space="preserve">5 (1): vbaf010.</w:t>
      </w:r>
      <w:r>
        <w:t xml:space="preserve"> </w:t>
      </w:r>
      <w:hyperlink r:id="rId118">
        <w:r>
          <w:rPr>
            <w:rStyle w:val="Hyperlink"/>
          </w:rPr>
          <w:t xml:space="preserve">https://doi.org/10.1093/bioadv/vbaf010</w:t>
        </w:r>
      </w:hyperlink>
      <w:r>
        <w:t xml:space="preserve">.</w:t>
      </w:r>
    </w:p>
    <w:bookmarkEnd w:id="119"/>
    <w:bookmarkStart w:id="121" w:name="ref-wang_proposed_2023"/>
    <w:p>
      <w:pPr>
        <w:pStyle w:val="Bibliography"/>
      </w:pPr>
      <w:r>
        <w:t xml:space="preserve">Wang, Peng, and Fei Wang. 2023.</w:t>
      </w:r>
      <w:r>
        <w:t xml:space="preserve"> </w:t>
      </w:r>
      <w:r>
        <w:t xml:space="preserve">“A Proposed Metric Set for Evaluation of Genome Assembly Quality.”</w:t>
      </w:r>
      <w:r>
        <w:t xml:space="preserve"> </w:t>
      </w:r>
      <w:r>
        <w:rPr>
          <w:i/>
          <w:iCs/>
        </w:rPr>
        <w:t xml:space="preserve">Trends in Genetics</w:t>
      </w:r>
      <w:r>
        <w:t xml:space="preserve"> </w:t>
      </w:r>
      <w:r>
        <w:t xml:space="preserve">39 (3): 175–86.</w:t>
      </w:r>
      <w:r>
        <w:t xml:space="preserve"> </w:t>
      </w:r>
      <w:hyperlink r:id="rId120">
        <w:r>
          <w:rPr>
            <w:rStyle w:val="Hyperlink"/>
          </w:rPr>
          <w:t xml:space="preserve">https://doi.org/10.1016/j.tig.2022.10.005</w:t>
        </w:r>
      </w:hyperlink>
      <w:r>
        <w:t xml:space="preserve">.</w:t>
      </w:r>
    </w:p>
    <w:bookmarkEnd w:id="121"/>
    <w:bookmarkStart w:id="123" w:name="ref-ggplot2"/>
    <w:p>
      <w:pPr>
        <w:pStyle w:val="Bibliography"/>
      </w:pPr>
      <w:r>
        <w:t xml:space="preserve">Wickham, Hadley. 2016.</w:t>
      </w:r>
      <w:r>
        <w:t xml:space="preserve"> </w:t>
      </w:r>
      <w:r>
        <w:rPr>
          <w:i/>
          <w:iCs/>
        </w:rPr>
        <w:t xml:space="preserve">Ggplot2: Elegant Graphics for Data Analysis</w:t>
      </w:r>
      <w:r>
        <w:t xml:space="preserve">. Springer-Verlag New York.</w:t>
      </w:r>
      <w:r>
        <w:t xml:space="preserve"> </w:t>
      </w:r>
      <w:hyperlink r:id="rId122">
        <w:r>
          <w:rPr>
            <w:rStyle w:val="Hyperlink"/>
          </w:rPr>
          <w:t xml:space="preserve">https://ggplot2.tidyverse.org</w:t>
        </w:r>
      </w:hyperlink>
      <w:r>
        <w:t xml:space="preserve">.</w:t>
      </w:r>
    </w:p>
    <w:bookmarkEnd w:id="123"/>
    <w:bookmarkStart w:id="125" w:name="ref-readxl"/>
    <w:p>
      <w:pPr>
        <w:pStyle w:val="Bibliography"/>
      </w:pPr>
      <w:r>
        <w:t xml:space="preserve">Wickham, Hadley, and Jennifer Bryan. 2025.</w:t>
      </w:r>
      <w:r>
        <w:t xml:space="preserve"> </w:t>
      </w:r>
      <w:r>
        <w:rPr>
          <w:i/>
          <w:iCs/>
        </w:rPr>
        <w:t xml:space="preserve">Readxl: Read Excel Files</w:t>
      </w:r>
      <w:r>
        <w:t xml:space="preserve">.</w:t>
      </w:r>
      <w:r>
        <w:t xml:space="preserve"> </w:t>
      </w:r>
      <w:hyperlink r:id="rId124">
        <w:r>
          <w:rPr>
            <w:rStyle w:val="Hyperlink"/>
          </w:rPr>
          <w:t xml:space="preserve">https://readxl.tidyverse.org</w:t>
        </w:r>
      </w:hyperlink>
      <w:r>
        <w:t xml:space="preserve">.</w:t>
      </w:r>
    </w:p>
    <w:bookmarkEnd w:id="125"/>
    <w:bookmarkStart w:id="127" w:name="ref-xiao_adsorption_2025"/>
    <w:p>
      <w:pPr>
        <w:pStyle w:val="Bibliography"/>
      </w:pPr>
      <w:r>
        <w:t xml:space="preserve">Xiao, Wenqi, Shuyi Chen, Maojie Zhao, Dan Wen, Lianxin Peng, Liang Zou, Jialiang Han, and Qiang Li. 2025.</w:t>
      </w:r>
      <w:r>
        <w:t xml:space="preserve"> </w:t>
      </w:r>
      <w:r>
        <w:t xml:space="preserve">“The Adsorption Capacity and Genetic Mechanism Analysis of</w:t>
      </w:r>
      <w:r>
        <w:t xml:space="preserve"> </w:t>
      </w:r>
      <w:r>
        <w:rPr>
          <w:i/>
          <w:iCs/>
        </w:rPr>
        <w:t xml:space="preserve">Yarrowia</w:t>
      </w:r>
      <w:r>
        <w:rPr>
          <w:i/>
          <w:iCs/>
        </w:rPr>
        <w:t xml:space="preserve"> </w:t>
      </w:r>
      <w:r>
        <w:rPr>
          <w:i/>
          <w:iCs/>
        </w:rPr>
        <w:t xml:space="preserve">Phangngaensis</w:t>
      </w:r>
      <w:r>
        <w:t xml:space="preserve"> </w:t>
      </w:r>
      <w:r>
        <w:t xml:space="preserve">for Multiple Heavy Metals.”</w:t>
      </w:r>
      <w:r>
        <w:t xml:space="preserve"> </w:t>
      </w:r>
      <w:r>
        <w:rPr>
          <w:i/>
          <w:iCs/>
        </w:rPr>
        <w:t xml:space="preserve">Journal of Hazardous Materials</w:t>
      </w:r>
      <w:r>
        <w:t xml:space="preserve"> </w:t>
      </w:r>
      <w:r>
        <w:t xml:space="preserve">494 (August): 138756.</w:t>
      </w:r>
      <w:r>
        <w:t xml:space="preserve"> </w:t>
      </w:r>
      <w:hyperlink r:id="rId126">
        <w:r>
          <w:rPr>
            <w:rStyle w:val="Hyperlink"/>
          </w:rPr>
          <w:t xml:space="preserve">https://doi.org/10.1016/j.jhazmat.2025.138756</w:t>
        </w:r>
      </w:hyperlink>
      <w:r>
        <w:t xml:space="preserve">.</w:t>
      </w:r>
    </w:p>
    <w:bookmarkEnd w:id="127"/>
    <w:bookmarkStart w:id="129" w:name="ref-zhang_isolation_2023"/>
    <w:p>
      <w:pPr>
        <w:pStyle w:val="Bibliography"/>
      </w:pPr>
      <w:r>
        <w:t xml:space="preserve">Zhang, Jing, Yiguo He, Liguo Yin, Rong Hu, Jiao Yang, Jing Zhou, Tao Cheng, Hongyu Liu, and Xingxiu Zhao. 2023.</w:t>
      </w:r>
      <w:r>
        <w:t xml:space="preserve"> </w:t>
      </w:r>
      <w:r>
        <w:t xml:space="preserve">“Isolation of</w:t>
      </w:r>
      <w:r>
        <w:t xml:space="preserve"> </w:t>
      </w:r>
      <w:r>
        <w:t xml:space="preserve">Aroma</w:t>
      </w:r>
      <w:r>
        <w:t xml:space="preserve">-</w:t>
      </w:r>
      <w:r>
        <w:t xml:space="preserve">Producing</w:t>
      </w:r>
      <w:r>
        <w:t xml:space="preserve"> </w:t>
      </w:r>
      <w:r>
        <w:t xml:space="preserve">Wickerhamomyces</w:t>
      </w:r>
      <w:r>
        <w:t xml:space="preserve"> </w:t>
      </w:r>
      <w:r>
        <w:t xml:space="preserve">Anomalus</w:t>
      </w:r>
      <w:r>
        <w:t xml:space="preserve"> </w:t>
      </w:r>
      <w:r>
        <w:t xml:space="preserve">Yeast</w:t>
      </w:r>
      <w:r>
        <w:t xml:space="preserve"> </w:t>
      </w:r>
      <w:r>
        <w:t xml:space="preserve">and</w:t>
      </w:r>
      <w:r>
        <w:t xml:space="preserve"> </w:t>
      </w:r>
      <w:r>
        <w:t xml:space="preserve">Analysis</w:t>
      </w:r>
      <w:r>
        <w:t xml:space="preserve"> </w:t>
      </w:r>
      <w:r>
        <w:t xml:space="preserve">of</w:t>
      </w:r>
      <w:r>
        <w:t xml:space="preserve"> </w:t>
      </w:r>
      <w:r>
        <w:t xml:space="preserve">Its</w:t>
      </w:r>
      <w:r>
        <w:t xml:space="preserve"> </w:t>
      </w:r>
      <w:r>
        <w:t xml:space="preserve">Typical</w:t>
      </w:r>
      <w:r>
        <w:t xml:space="preserve"> </w:t>
      </w:r>
      <w:r>
        <w:t xml:space="preserve">Flavoring</w:t>
      </w:r>
      <w:r>
        <w:t xml:space="preserve"> </w:t>
      </w:r>
      <w:r>
        <w:t xml:space="preserve">Metabolites</w:t>
      </w:r>
      <w:r>
        <w:t xml:space="preserve">.”</w:t>
      </w:r>
      <w:r>
        <w:t xml:space="preserve"> </w:t>
      </w:r>
      <w:r>
        <w:rPr>
          <w:i/>
          <w:iCs/>
        </w:rPr>
        <w:t xml:space="preserve">Foods</w:t>
      </w:r>
      <w:r>
        <w:t xml:space="preserve"> </w:t>
      </w:r>
      <w:r>
        <w:t xml:space="preserve">12 (15): 2934.</w:t>
      </w:r>
      <w:r>
        <w:t xml:space="preserve"> </w:t>
      </w:r>
      <w:hyperlink r:id="rId128">
        <w:r>
          <w:rPr>
            <w:rStyle w:val="Hyperlink"/>
          </w:rPr>
          <w:t xml:space="preserve">https://doi.org/10.3390/foods12152934</w:t>
        </w:r>
      </w:hyperlink>
      <w:r>
        <w:t xml:space="preserve">.</w:t>
      </w:r>
    </w:p>
    <w:bookmarkEnd w:id="129"/>
    <w:bookmarkEnd w:id="1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hyperlink" Id="rId90" Target="https://bioconductor.org/packages/AnnotationDbi" TargetMode="External" /><Relationship Type="http://schemas.openxmlformats.org/officeDocument/2006/relationships/hyperlink" Id="rId73" Target="https://doi.org/10.1002/aps3.1030" TargetMode="External" /><Relationship Type="http://schemas.openxmlformats.org/officeDocument/2006/relationships/hyperlink" Id="rId32" Target="https://doi.org/10.1002/mbo3.1326" TargetMode="External" /><Relationship Type="http://schemas.openxmlformats.org/officeDocument/2006/relationships/hyperlink" Id="rId61" Target="https://doi.org/10.1007/s00203-011-0753-2" TargetMode="External" /><Relationship Type="http://schemas.openxmlformats.org/officeDocument/2006/relationships/hyperlink" Id="rId65" Target="https://doi.org/10.1007/s11274-023-03737-7" TargetMode="External" /><Relationship Type="http://schemas.openxmlformats.org/officeDocument/2006/relationships/hyperlink" Id="rId102" Target="https://doi.org/10.1016/j.cell.2018.10.023" TargetMode="External" /><Relationship Type="http://schemas.openxmlformats.org/officeDocument/2006/relationships/hyperlink" Id="rId108" Target="https://doi.org/10.1016/j.cub.2015.07.060" TargetMode="External" /><Relationship Type="http://schemas.openxmlformats.org/officeDocument/2006/relationships/hyperlink" Id="rId84" Target="https://doi.org/10.1016/j.ejbt.2024.01.005" TargetMode="External" /><Relationship Type="http://schemas.openxmlformats.org/officeDocument/2006/relationships/hyperlink" Id="rId75" Target="https://doi.org/10.1016/j.ijid.2021.12.013" TargetMode="External" /><Relationship Type="http://schemas.openxmlformats.org/officeDocument/2006/relationships/hyperlink" Id="rId43" Target="https://doi.org/10.1016/j.jclepro.2022.131681" TargetMode="External" /><Relationship Type="http://schemas.openxmlformats.org/officeDocument/2006/relationships/hyperlink" Id="rId126" Target="https://doi.org/10.1016/j.jhazmat.2025.138756" TargetMode="External" /><Relationship Type="http://schemas.openxmlformats.org/officeDocument/2006/relationships/hyperlink" Id="rId120" Target="https://doi.org/10.1016/j.tig.2022.10.005" TargetMode="External" /><Relationship Type="http://schemas.openxmlformats.org/officeDocument/2006/relationships/hyperlink" Id="rId34" Target="https://doi.org/10.1016/j.toxicon.2019.02.001" TargetMode="External" /><Relationship Type="http://schemas.openxmlformats.org/officeDocument/2006/relationships/hyperlink" Id="rId30" Target="https://doi.org/10.1038/75556" TargetMode="External" /><Relationship Type="http://schemas.openxmlformats.org/officeDocument/2006/relationships/hyperlink" Id="rId106" Target="https://doi.org/10.1038/s41467-019-13093-6" TargetMode="External" /><Relationship Type="http://schemas.openxmlformats.org/officeDocument/2006/relationships/hyperlink" Id="rId79" Target="https://doi.org/10.1038/s41586-025-09637-0" TargetMode="External" /><Relationship Type="http://schemas.openxmlformats.org/officeDocument/2006/relationships/hyperlink" Id="rId67" Target="https://doi.org/10.1038/s41587-019-0072-8" TargetMode="External" /><Relationship Type="http://schemas.openxmlformats.org/officeDocument/2006/relationships/hyperlink" Id="rId98" Target="https://doi.org/10.1073/pnas.1603941113" TargetMode="External" /><Relationship Type="http://schemas.openxmlformats.org/officeDocument/2006/relationships/hyperlink" Id="rId118" Target="https://doi.org/10.1093/bioadv/vbaf010" TargetMode="External" /><Relationship Type="http://schemas.openxmlformats.org/officeDocument/2006/relationships/hyperlink" Id="rId53" Target="https://doi.org/10.1093/bioinformatics/btu781" TargetMode="External" /><Relationship Type="http://schemas.openxmlformats.org/officeDocument/2006/relationships/hyperlink" Id="rId104" Target="https://doi.org/10.1093/bioinformatics/btv351" TargetMode="External" /><Relationship Type="http://schemas.openxmlformats.org/officeDocument/2006/relationships/hyperlink" Id="rId110" Target="https://doi.org/10.1093/genetics/iyad031" TargetMode="External" /><Relationship Type="http://schemas.openxmlformats.org/officeDocument/2006/relationships/hyperlink" Id="rId57" Target="https://doi.org/10.1093/jexbot/53.366.1" TargetMode="External" /><Relationship Type="http://schemas.openxmlformats.org/officeDocument/2006/relationships/hyperlink" Id="rId55" Target="https://doi.org/10.1093/nar/gkae983" TargetMode="External" /><Relationship Type="http://schemas.openxmlformats.org/officeDocument/2006/relationships/hyperlink" Id="rId59" Target="https://doi.org/10.1093/nar/gky1085" TargetMode="External" /><Relationship Type="http://schemas.openxmlformats.org/officeDocument/2006/relationships/hyperlink" Id="rId94" Target="https://doi.org/10.1093/toxsci/kfn193" TargetMode="External" /><Relationship Type="http://schemas.openxmlformats.org/officeDocument/2006/relationships/hyperlink" Id="rId38" Target="https://doi.org/10.1101/2021.06.03.446934" TargetMode="External" /><Relationship Type="http://schemas.openxmlformats.org/officeDocument/2006/relationships/hyperlink" Id="rId88" Target="https://doi.org/10.1101/2023.06.19.545611" TargetMode="External" /><Relationship Type="http://schemas.openxmlformats.org/officeDocument/2006/relationships/hyperlink" Id="rId41" Target="https://doi.org/10.1105/tpc.106.041871" TargetMode="External" /><Relationship Type="http://schemas.openxmlformats.org/officeDocument/2006/relationships/hyperlink" Id="rId51" Target="https://doi.org/10.1111/j.1567-1364.2002.tb00109.x" TargetMode="External" /><Relationship Type="http://schemas.openxmlformats.org/officeDocument/2006/relationships/hyperlink" Id="rId116" Target="https://doi.org/10.1128/jcm.00664-25" TargetMode="External" /><Relationship Type="http://schemas.openxmlformats.org/officeDocument/2006/relationships/hyperlink" Id="rId36" Target="https://doi.org/10.1128/mcb.9.9.4091-4095.1989" TargetMode="External" /><Relationship Type="http://schemas.openxmlformats.org/officeDocument/2006/relationships/hyperlink" Id="rId49" Target="https://doi.org/10.1186/s12934-015-0331-4" TargetMode="External" /><Relationship Type="http://schemas.openxmlformats.org/officeDocument/2006/relationships/hyperlink" Id="rId28" Target="https://doi.org/10.1186/s40643-018-0190-z" TargetMode="External" /><Relationship Type="http://schemas.openxmlformats.org/officeDocument/2006/relationships/hyperlink" Id="rId71" Target="https://doi.org/10.12717/DR.2023.27.1.9" TargetMode="External" /><Relationship Type="http://schemas.openxmlformats.org/officeDocument/2006/relationships/hyperlink" Id="rId81" Target="https://doi.org/10.1371/journal.pcbi.1005457" TargetMode="External" /><Relationship Type="http://schemas.openxmlformats.org/officeDocument/2006/relationships/hyperlink" Id="rId69" Target="https://doi.org/10.20870/oeno-one.2023.57.1.7165" TargetMode="External" /><Relationship Type="http://schemas.openxmlformats.org/officeDocument/2006/relationships/hyperlink" Id="rId45" Target="https://doi.org/10.21425/F5FBG62358" TargetMode="External" /><Relationship Type="http://schemas.openxmlformats.org/officeDocument/2006/relationships/hyperlink" Id="rId86" Target="https://doi.org/10.3389/fgene.2015.00361" TargetMode="External" /><Relationship Type="http://schemas.openxmlformats.org/officeDocument/2006/relationships/hyperlink" Id="rId100" Target="https://doi.org/10.3390/biology12070997" TargetMode="External" /><Relationship Type="http://schemas.openxmlformats.org/officeDocument/2006/relationships/hyperlink" Id="rId47" Target="https://doi.org/10.3390/biology9090295" TargetMode="External" /><Relationship Type="http://schemas.openxmlformats.org/officeDocument/2006/relationships/hyperlink" Id="rId128" Target="https://doi.org/10.3390/foods12152934" TargetMode="External" /><Relationship Type="http://schemas.openxmlformats.org/officeDocument/2006/relationships/hyperlink" Id="rId26" Target="https://doi.org/10.3390/genes10030192" TargetMode="External" /><Relationship Type="http://schemas.openxmlformats.org/officeDocument/2006/relationships/hyperlink" Id="rId112" Target="https://doi.org/10.3390/jof8070752" TargetMode="External" /><Relationship Type="http://schemas.openxmlformats.org/officeDocument/2006/relationships/hyperlink" Id="rId63" Target="https://doi.org/10.3390/pathogens13030269" TargetMode="External" /><Relationship Type="http://schemas.openxmlformats.org/officeDocument/2006/relationships/hyperlink" Id="rId96" Target="https://doi.org/10.3390/pr12112555" TargetMode="External" /><Relationship Type="http://schemas.openxmlformats.org/officeDocument/2006/relationships/hyperlink" Id="rId77" Target="https://doi.org/10.3767/persoonia.2024.52.02" TargetMode="External" /><Relationship Type="http://schemas.openxmlformats.org/officeDocument/2006/relationships/hyperlink" Id="rId92" Target="https://doi.org/10.5281/ZENODO.4054262" TargetMode="External" /><Relationship Type="http://schemas.openxmlformats.org/officeDocument/2006/relationships/hyperlink" Id="rId114" Target="https://doi.org/10.7717/peerj.4673" TargetMode="External" /><Relationship Type="http://schemas.openxmlformats.org/officeDocument/2006/relationships/hyperlink" Id="rId122" Target="https://ggplot2.tidyverse.org" TargetMode="External" /><Relationship Type="http://schemas.openxmlformats.org/officeDocument/2006/relationships/hyperlink" Id="rId124" Target="https://readxl.tidyverse.org" TargetMode="External" /></Relationships>
</file>

<file path=word/_rels/footnotes.xml.rels><?xml version="1.0" encoding="UTF-8"?><Relationships xmlns="http://schemas.openxmlformats.org/package/2006/relationships"><Relationship Type="http://schemas.openxmlformats.org/officeDocument/2006/relationships/hyperlink" Id="rId90" Target="https://bioconductor.org/packages/AnnotationDbi" TargetMode="External" /><Relationship Type="http://schemas.openxmlformats.org/officeDocument/2006/relationships/hyperlink" Id="rId73" Target="https://doi.org/10.1002/aps3.1030" TargetMode="External" /><Relationship Type="http://schemas.openxmlformats.org/officeDocument/2006/relationships/hyperlink" Id="rId32" Target="https://doi.org/10.1002/mbo3.1326" TargetMode="External" /><Relationship Type="http://schemas.openxmlformats.org/officeDocument/2006/relationships/hyperlink" Id="rId61" Target="https://doi.org/10.1007/s00203-011-0753-2" TargetMode="External" /><Relationship Type="http://schemas.openxmlformats.org/officeDocument/2006/relationships/hyperlink" Id="rId65" Target="https://doi.org/10.1007/s11274-023-03737-7" TargetMode="External" /><Relationship Type="http://schemas.openxmlformats.org/officeDocument/2006/relationships/hyperlink" Id="rId102" Target="https://doi.org/10.1016/j.cell.2018.10.023" TargetMode="External" /><Relationship Type="http://schemas.openxmlformats.org/officeDocument/2006/relationships/hyperlink" Id="rId108" Target="https://doi.org/10.1016/j.cub.2015.07.060" TargetMode="External" /><Relationship Type="http://schemas.openxmlformats.org/officeDocument/2006/relationships/hyperlink" Id="rId84" Target="https://doi.org/10.1016/j.ejbt.2024.01.005" TargetMode="External" /><Relationship Type="http://schemas.openxmlformats.org/officeDocument/2006/relationships/hyperlink" Id="rId75" Target="https://doi.org/10.1016/j.ijid.2021.12.013" TargetMode="External" /><Relationship Type="http://schemas.openxmlformats.org/officeDocument/2006/relationships/hyperlink" Id="rId43" Target="https://doi.org/10.1016/j.jclepro.2022.131681" TargetMode="External" /><Relationship Type="http://schemas.openxmlformats.org/officeDocument/2006/relationships/hyperlink" Id="rId126" Target="https://doi.org/10.1016/j.jhazmat.2025.138756" TargetMode="External" /><Relationship Type="http://schemas.openxmlformats.org/officeDocument/2006/relationships/hyperlink" Id="rId120" Target="https://doi.org/10.1016/j.tig.2022.10.005" TargetMode="External" /><Relationship Type="http://schemas.openxmlformats.org/officeDocument/2006/relationships/hyperlink" Id="rId34" Target="https://doi.org/10.1016/j.toxicon.2019.02.001" TargetMode="External" /><Relationship Type="http://schemas.openxmlformats.org/officeDocument/2006/relationships/hyperlink" Id="rId30" Target="https://doi.org/10.1038/75556" TargetMode="External" /><Relationship Type="http://schemas.openxmlformats.org/officeDocument/2006/relationships/hyperlink" Id="rId106" Target="https://doi.org/10.1038/s41467-019-13093-6" TargetMode="External" /><Relationship Type="http://schemas.openxmlformats.org/officeDocument/2006/relationships/hyperlink" Id="rId79" Target="https://doi.org/10.1038/s41586-025-09637-0" TargetMode="External" /><Relationship Type="http://schemas.openxmlformats.org/officeDocument/2006/relationships/hyperlink" Id="rId67" Target="https://doi.org/10.1038/s41587-019-0072-8" TargetMode="External" /><Relationship Type="http://schemas.openxmlformats.org/officeDocument/2006/relationships/hyperlink" Id="rId98" Target="https://doi.org/10.1073/pnas.1603941113" TargetMode="External" /><Relationship Type="http://schemas.openxmlformats.org/officeDocument/2006/relationships/hyperlink" Id="rId118" Target="https://doi.org/10.1093/bioadv/vbaf010" TargetMode="External" /><Relationship Type="http://schemas.openxmlformats.org/officeDocument/2006/relationships/hyperlink" Id="rId53" Target="https://doi.org/10.1093/bioinformatics/btu781" TargetMode="External" /><Relationship Type="http://schemas.openxmlformats.org/officeDocument/2006/relationships/hyperlink" Id="rId104" Target="https://doi.org/10.1093/bioinformatics/btv351" TargetMode="External" /><Relationship Type="http://schemas.openxmlformats.org/officeDocument/2006/relationships/hyperlink" Id="rId110" Target="https://doi.org/10.1093/genetics/iyad031" TargetMode="External" /><Relationship Type="http://schemas.openxmlformats.org/officeDocument/2006/relationships/hyperlink" Id="rId57" Target="https://doi.org/10.1093/jexbot/53.366.1" TargetMode="External" /><Relationship Type="http://schemas.openxmlformats.org/officeDocument/2006/relationships/hyperlink" Id="rId55" Target="https://doi.org/10.1093/nar/gkae983" TargetMode="External" /><Relationship Type="http://schemas.openxmlformats.org/officeDocument/2006/relationships/hyperlink" Id="rId59" Target="https://doi.org/10.1093/nar/gky1085" TargetMode="External" /><Relationship Type="http://schemas.openxmlformats.org/officeDocument/2006/relationships/hyperlink" Id="rId94" Target="https://doi.org/10.1093/toxsci/kfn193" TargetMode="External" /><Relationship Type="http://schemas.openxmlformats.org/officeDocument/2006/relationships/hyperlink" Id="rId38" Target="https://doi.org/10.1101/2021.06.03.446934" TargetMode="External" /><Relationship Type="http://schemas.openxmlformats.org/officeDocument/2006/relationships/hyperlink" Id="rId88" Target="https://doi.org/10.1101/2023.06.19.545611" TargetMode="External" /><Relationship Type="http://schemas.openxmlformats.org/officeDocument/2006/relationships/hyperlink" Id="rId41" Target="https://doi.org/10.1105/tpc.106.041871" TargetMode="External" /><Relationship Type="http://schemas.openxmlformats.org/officeDocument/2006/relationships/hyperlink" Id="rId51" Target="https://doi.org/10.1111/j.1567-1364.2002.tb00109.x" TargetMode="External" /><Relationship Type="http://schemas.openxmlformats.org/officeDocument/2006/relationships/hyperlink" Id="rId116" Target="https://doi.org/10.1128/jcm.00664-25" TargetMode="External" /><Relationship Type="http://schemas.openxmlformats.org/officeDocument/2006/relationships/hyperlink" Id="rId36" Target="https://doi.org/10.1128/mcb.9.9.4091-4095.1989" TargetMode="External" /><Relationship Type="http://schemas.openxmlformats.org/officeDocument/2006/relationships/hyperlink" Id="rId49" Target="https://doi.org/10.1186/s12934-015-0331-4" TargetMode="External" /><Relationship Type="http://schemas.openxmlformats.org/officeDocument/2006/relationships/hyperlink" Id="rId28" Target="https://doi.org/10.1186/s40643-018-0190-z" TargetMode="External" /><Relationship Type="http://schemas.openxmlformats.org/officeDocument/2006/relationships/hyperlink" Id="rId71" Target="https://doi.org/10.12717/DR.2023.27.1.9" TargetMode="External" /><Relationship Type="http://schemas.openxmlformats.org/officeDocument/2006/relationships/hyperlink" Id="rId81" Target="https://doi.org/10.1371/journal.pcbi.1005457" TargetMode="External" /><Relationship Type="http://schemas.openxmlformats.org/officeDocument/2006/relationships/hyperlink" Id="rId69" Target="https://doi.org/10.20870/oeno-one.2023.57.1.7165" TargetMode="External" /><Relationship Type="http://schemas.openxmlformats.org/officeDocument/2006/relationships/hyperlink" Id="rId45" Target="https://doi.org/10.21425/F5FBG62358" TargetMode="External" /><Relationship Type="http://schemas.openxmlformats.org/officeDocument/2006/relationships/hyperlink" Id="rId86" Target="https://doi.org/10.3389/fgene.2015.00361" TargetMode="External" /><Relationship Type="http://schemas.openxmlformats.org/officeDocument/2006/relationships/hyperlink" Id="rId100" Target="https://doi.org/10.3390/biology12070997" TargetMode="External" /><Relationship Type="http://schemas.openxmlformats.org/officeDocument/2006/relationships/hyperlink" Id="rId47" Target="https://doi.org/10.3390/biology9090295" TargetMode="External" /><Relationship Type="http://schemas.openxmlformats.org/officeDocument/2006/relationships/hyperlink" Id="rId128" Target="https://doi.org/10.3390/foods12152934" TargetMode="External" /><Relationship Type="http://schemas.openxmlformats.org/officeDocument/2006/relationships/hyperlink" Id="rId26" Target="https://doi.org/10.3390/genes10030192" TargetMode="External" /><Relationship Type="http://schemas.openxmlformats.org/officeDocument/2006/relationships/hyperlink" Id="rId112" Target="https://doi.org/10.3390/jof8070752" TargetMode="External" /><Relationship Type="http://schemas.openxmlformats.org/officeDocument/2006/relationships/hyperlink" Id="rId63" Target="https://doi.org/10.3390/pathogens13030269" TargetMode="External" /><Relationship Type="http://schemas.openxmlformats.org/officeDocument/2006/relationships/hyperlink" Id="rId96" Target="https://doi.org/10.3390/pr12112555" TargetMode="External" /><Relationship Type="http://schemas.openxmlformats.org/officeDocument/2006/relationships/hyperlink" Id="rId77" Target="https://doi.org/10.3767/persoonia.2024.52.02" TargetMode="External" /><Relationship Type="http://schemas.openxmlformats.org/officeDocument/2006/relationships/hyperlink" Id="rId92" Target="https://doi.org/10.5281/ZENODO.4054262" TargetMode="External" /><Relationship Type="http://schemas.openxmlformats.org/officeDocument/2006/relationships/hyperlink" Id="rId114" Target="https://doi.org/10.7717/peerj.4673" TargetMode="External" /><Relationship Type="http://schemas.openxmlformats.org/officeDocument/2006/relationships/hyperlink" Id="rId122" Target="https://ggplot2.tidyverse.org" TargetMode="External" /><Relationship Type="http://schemas.openxmlformats.org/officeDocument/2006/relationships/hyperlink" Id="rId124" Target="https://readxl.tidyvers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Genomics Project Fall 2025</dc:title>
  <dc:creator>Myles Taillefer 100315385</dc:creator>
  <cp:keywords/>
  <dcterms:created xsi:type="dcterms:W3CDTF">2025-12-09T09:26:55Z</dcterms:created>
  <dcterms:modified xsi:type="dcterms:W3CDTF">2025-12-09T09:26:55Z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citations.bib</vt:lpwstr>
  </property>
  <property fmtid="{D5CDD505-2E9C-101B-9397-08002B2CF9AE}" pid="3" name="date">
    <vt:lpwstr>2025-12-08</vt:lpwstr>
  </property>
  <property fmtid="{D5CDD505-2E9C-101B-9397-08002B2CF9AE}" pid="4" name="output">
    <vt:lpwstr/>
  </property>
</Properties>
</file>