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55159523cd9bd5a07e27c161754e8702adbf4e"/>
    <w:p>
      <w:pPr>
        <w:pStyle w:val="Heading1"/>
      </w:pPr>
      <w:r>
        <w:t xml:space="preserve">Conduit — Director, Environment &amp; Release Management Guide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Director, Environment &amp; Release Management (DIR)</w:t>
      </w:r>
      <w:r>
        <w:t xml:space="preserve"> </w:t>
      </w:r>
      <w:r>
        <w:rPr>
          <w:b/>
          <w:bCs/>
        </w:rPr>
        <w:t xml:space="preserve">Policy reference:</w:t>
      </w:r>
      <w:r>
        <w:t xml:space="preserve"> </w:t>
      </w:r>
      <w:hyperlink r:id="rId20">
        <w:r>
          <w:rPr>
            <w:rStyle w:val="Hyperlink"/>
          </w:rPr>
          <w:t xml:space="preserve">Environments &amp; Release Management Policy</w:t>
        </w:r>
      </w:hyperlink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2026-04-16</w:t>
      </w:r>
    </w:p>
    <w:bookmarkStart w:id="21" w:name="your-accountability-in-erm"/>
    <w:p>
      <w:pPr>
        <w:pStyle w:val="Heading2"/>
      </w:pPr>
      <w:r>
        <w:t xml:space="preserve">Your accountability in E&amp;RM</w:t>
      </w:r>
    </w:p>
    <w:p>
      <w:pPr>
        <w:pStyle w:val="FirstParagraph"/>
      </w:pPr>
      <w:r>
        <w:t xml:space="preserve">You own this policy. You are the final decision-maker on clearing releases, resolving cross-program scheduling conflicts, and decommissioning unallocated environments. You are accountable for all advisory dispositions and responsible for approving cross-utility shared environments in coordination with the EA. Conduit is your primary operational tool — every surface is relevant to your role.</w:t>
      </w:r>
    </w:p>
    <w:bookmarkEnd w:id="21"/>
    <w:bookmarkStart w:id="22" w:name="what-you-do-in-conduit"/>
    <w:p>
      <w:pPr>
        <w:pStyle w:val="Heading2"/>
      </w:pPr>
      <w:r>
        <w:t xml:space="preserve">What you do in Conduit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 (RACI)</w:t>
            </w:r>
          </w:p>
        </w:tc>
        <w:tc>
          <w:tcPr/>
          <w:p>
            <w:pPr>
              <w:pStyle w:val="Compact"/>
            </w:pPr>
            <w:r>
              <w:t xml:space="preserve">Where in Conduit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release for deployment (A/R)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#/release/{id}</w:t>
            </w:r>
          </w:p>
        </w:tc>
        <w:tc>
          <w:tcPr/>
          <w:p>
            <w:pPr>
              <w:pStyle w:val="Compact"/>
            </w:pPr>
            <w:r>
              <w:t xml:space="preserve">Review readiness record, resolve outstanding concerns, click 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release complete (I)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#/releases</w:t>
            </w:r>
          </w:p>
        </w:tc>
        <w:tc>
          <w:tcPr/>
          <w:p>
            <w:pPr>
              <w:pStyle w:val="Compact"/>
            </w:pPr>
            <w:r>
              <w:t xml:space="preserve">Informed once PO marks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 advisory — manual (A)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#/advisories</w:t>
            </w:r>
          </w:p>
        </w:tc>
        <w:tc>
          <w:tcPr/>
          <w:p>
            <w:pPr>
              <w:pStyle w:val="Compact"/>
            </w:pPr>
            <w:r>
              <w:t xml:space="preserve">You are accountable for all manual advisories; raise when reactive policies miss a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Dismiss or resolve advisory (A)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#/advisories</w:t>
            </w:r>
          </w:p>
        </w:tc>
        <w:tc>
          <w:tcPr/>
          <w:p>
            <w:pPr>
              <w:pStyle w:val="Compact"/>
            </w:pPr>
            <w:r>
              <w:t xml:space="preserve">Final disposition authority on all advisories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Declare or cancel environment window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#/system/{id}</w:t>
            </w:r>
          </w:p>
        </w:tc>
        <w:tc>
          <w:tcPr/>
          <w:p>
            <w:pPr>
              <w:pStyle w:val="Compact"/>
            </w:pPr>
            <w:r>
              <w:t xml:space="preserve">Consulted on windows with cross-program scheduling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cross-utility shared environment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#/graph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#/system/{id}</w:t>
            </w:r>
          </w:p>
        </w:tc>
        <w:tc>
          <w:tcPr/>
          <w:p>
            <w:pPr>
              <w:pStyle w:val="Compact"/>
            </w:pPr>
            <w:r>
              <w:t xml:space="preserve">Responsible for the approval action; EA is accountable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Authorize scheduling exception — cross-program (A)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#/advisories</w:t>
            </w:r>
          </w:p>
        </w:tc>
        <w:tc>
          <w:tcPr/>
          <w:p>
            <w:pPr>
              <w:pStyle w:val="Compact"/>
            </w:pPr>
            <w:r>
              <w:t xml:space="preserve">Adjudicate competing priority claims; document decision in an advisory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Decommission unallocated environment (A/R)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#/system/{id}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#/advisories</w:t>
            </w:r>
          </w:p>
        </w:tc>
        <w:tc>
          <w:tcPr/>
          <w:p>
            <w:pPr>
              <w:pStyle w:val="Compact"/>
            </w:pPr>
            <w:r>
              <w:t xml:space="preserve">Identify via advisory, coordinate with DA/SA, remove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environment refresh — out-of-cycle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#/system/{id}</w:t>
            </w:r>
          </w:p>
        </w:tc>
        <w:tc>
          <w:tcPr/>
          <w:p>
            <w:pPr>
              <w:pStyle w:val="Compact"/>
            </w:pPr>
            <w:r>
              <w:t xml:space="preserve">Consulted when refresh requests have scheduling implications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Declare system / environment / dependency (I)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#/systems</w:t>
            </w:r>
          </w:p>
        </w:tc>
        <w:tc>
          <w:tcPr/>
          <w:p>
            <w:pPr>
              <w:pStyle w:val="Compact"/>
            </w:pPr>
            <w:r>
              <w:t xml:space="preserve">Informed; intervene if domain governance appears to be failing</w:t>
            </w:r>
          </w:p>
        </w:tc>
      </w:tr>
    </w:tbl>
    <w:bookmarkEnd w:id="22"/>
    <w:bookmarkStart w:id="27" w:name="typical-workflows"/>
    <w:p>
      <w:pPr>
        <w:pStyle w:val="Heading2"/>
      </w:pPr>
      <w:r>
        <w:t xml:space="preserve">Typical workflows</w:t>
      </w:r>
    </w:p>
    <w:bookmarkStart w:id="23" w:name="clear-a-release-for-deployment"/>
    <w:p>
      <w:pPr>
        <w:pStyle w:val="Heading3"/>
      </w:pPr>
      <w:r>
        <w:t xml:space="preserve">Clear a release for deployment</w:t>
      </w:r>
    </w:p>
    <w:p>
      <w:pPr>
        <w:pStyle w:val="FirstParagraph"/>
      </w:pPr>
      <w:r>
        <w:t xml:space="preserve">Scenario: a release has all readiness confirmations in place (or objections resolved) and requires your sign-off before deployment proceeds.</w:t>
      </w:r>
    </w:p>
    <w:p>
      <w:pPr>
        <w:pStyle w:val="Compact"/>
        <w:numPr>
          <w:ilvl w:val="0"/>
          <w:numId w:val="1001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#/releases</w:t>
      </w:r>
      <w:r>
        <w:t xml:space="preserve"> </w:t>
      </w:r>
      <w:r>
        <w:t xml:space="preserve">— identify releases at status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 </w:t>
      </w:r>
      <w:r>
        <w:t xml:space="preserve">where readiness has been fully worked through.</w:t>
      </w:r>
    </w:p>
    <w:p>
      <w:pPr>
        <w:pStyle w:val="Compact"/>
        <w:numPr>
          <w:ilvl w:val="0"/>
          <w:numId w:val="1001"/>
        </w:numPr>
      </w:pPr>
      <w:r>
        <w:t xml:space="preserve">Click through to</w:t>
      </w:r>
      <w:r>
        <w:t xml:space="preserve"> </w:t>
      </w:r>
      <w:r>
        <w:rPr>
          <w:rStyle w:val="VerbatimChar"/>
        </w:rPr>
        <w:t xml:space="preserve">#/release/{id}</w:t>
      </w:r>
      <w:r>
        <w:t xml:space="preserve"> </w:t>
      </w:r>
      <w:r>
        <w:t xml:space="preserve">— review the readiness section: confirm all enrolled systems are either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or have recorded objection resolutions.</w:t>
      </w:r>
    </w:p>
    <w:p>
      <w:pPr>
        <w:pStyle w:val="Compact"/>
        <w:numPr>
          <w:ilvl w:val="0"/>
          <w:numId w:val="1001"/>
        </w:numPr>
      </w:pPr>
      <w:r>
        <w:t xml:space="preserve">Check for open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advisories on any enrolled system (</w:t>
      </w:r>
      <w:r>
        <w:rPr>
          <w:rStyle w:val="VerbatimChar"/>
        </w:rPr>
        <w:t xml:space="preserve">#/advisories</w:t>
      </w:r>
      <w:r>
        <w:t xml:space="preserve">). A critical advisory should not be dismissed without documented rationale.</w:t>
      </w:r>
    </w:p>
    <w:p>
      <w:pPr>
        <w:pStyle w:val="Compact"/>
        <w:numPr>
          <w:ilvl w:val="0"/>
          <w:numId w:val="1001"/>
        </w:numPr>
      </w:pPr>
      <w:r>
        <w:t xml:space="preserve">Confirm the release type against the policy priority order (regulatory &gt; capex milestone &gt; cross-program &gt; program-internal &gt; exploratory). If higher-priority work is contending for the same environment, resolve that first.</w:t>
      </w:r>
    </w:p>
    <w:p>
      <w:pPr>
        <w:pStyle w:val="Compact"/>
        <w:numPr>
          <w:ilvl w:val="0"/>
          <w:numId w:val="1001"/>
        </w:numPr>
      </w:pPr>
      <w:r>
        <w:t xml:space="preserve">If satisfied: click</w:t>
      </w:r>
      <w:r>
        <w:t xml:space="preserve"> </w:t>
      </w:r>
      <w:r>
        <w:rPr>
          <w:b/>
          <w:bCs/>
        </w:rPr>
        <w:t xml:space="preserve">Clear Release</w:t>
      </w:r>
      <w:r>
        <w:t xml:space="preserve">. Status moves to</w:t>
      </w:r>
      <w:r>
        <w:t xml:space="preserve"> </w:t>
      </w:r>
      <w:r>
        <w:rPr>
          <w:rStyle w:val="VerbatimChar"/>
        </w:rPr>
        <w:t xml:space="preserve">cleared</w:t>
      </w:r>
      <w:r>
        <w:t xml:space="preserve">. Deployment can proceed.</w:t>
      </w:r>
    </w:p>
    <w:p>
      <w:pPr>
        <w:pStyle w:val="Compact"/>
        <w:numPr>
          <w:ilvl w:val="0"/>
          <w:numId w:val="1001"/>
        </w:numPr>
      </w:pPr>
      <w:r>
        <w:t xml:space="preserve">If not satisfied: raise a Manual advisory documenting what must be resolved before clearance.</w:t>
      </w:r>
    </w:p>
    <w:bookmarkEnd w:id="23"/>
    <w:bookmarkStart w:id="24" w:name="Xf0035bd1da0e538246321ae8808c3cc0baf4980"/>
    <w:p>
      <w:pPr>
        <w:pStyle w:val="Heading3"/>
      </w:pPr>
      <w:r>
        <w:t xml:space="preserve">Adjudicate a cross-program scheduling conflict</w:t>
      </w:r>
    </w:p>
    <w:p>
      <w:pPr>
        <w:pStyle w:val="FirstParagraph"/>
      </w:pPr>
      <w:r>
        <w:t xml:space="preserve">Scenario: two programs are competing for the same environment or release slot and cannot resolve it themselves.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#/schedule</w:t>
      </w:r>
      <w:r>
        <w:t xml:space="preserve"> </w:t>
      </w:r>
      <w:r>
        <w:t xml:space="preserve">— identify the contending release windows on the Gantt.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#/advisories</w:t>
      </w:r>
      <w:r>
        <w:t xml:space="preserve"> </w:t>
      </w:r>
      <w:r>
        <w:t xml:space="preserve">— find the</w:t>
      </w:r>
      <w:r>
        <w:t xml:space="preserve"> </w:t>
      </w:r>
      <w:r>
        <w:rPr>
          <w:rStyle w:val="VerbatimChar"/>
        </w:rPr>
        <w:t xml:space="preserve">ScheduleContention</w:t>
      </w:r>
      <w:r>
        <w:t xml:space="preserve"> </w:t>
      </w:r>
      <w:r>
        <w:t xml:space="preserve">advisory for the affected environment.</w:t>
      </w:r>
    </w:p>
    <w:p>
      <w:pPr>
        <w:pStyle w:val="Compact"/>
        <w:numPr>
          <w:ilvl w:val="0"/>
          <w:numId w:val="1002"/>
        </w:numPr>
      </w:pPr>
      <w:r>
        <w:t xml:space="preserve">Apply the policy priority order: the higher-priority release wins. Confirm this with the release type and any capex milestone linkage.</w:t>
      </w:r>
    </w:p>
    <w:p>
      <w:pPr>
        <w:pStyle w:val="Compact"/>
        <w:numPr>
          <w:ilvl w:val="0"/>
          <w:numId w:val="1002"/>
        </w:numPr>
      </w:pPr>
      <w:r>
        <w:t xml:space="preserve">Notify the lower-priority program: raise a Manual advisory on the affected release documenting the decision, the reason, and the rescheduling expectation.</w:t>
      </w:r>
    </w:p>
    <w:p>
      <w:pPr>
        <w:pStyle w:val="Compact"/>
        <w:numPr>
          <w:ilvl w:val="0"/>
          <w:numId w:val="1002"/>
        </w:numPr>
      </w:pPr>
      <w:r>
        <w:t xml:space="preserve">If the situation is beyond your authority (cross-utility, regulatory, or General Counsel implications), escalate per the policy exceptions section.</w:t>
      </w:r>
    </w:p>
    <w:bookmarkEnd w:id="24"/>
    <w:bookmarkStart w:id="25" w:name="review-and-act-on-advisories"/>
    <w:p>
      <w:pPr>
        <w:pStyle w:val="Heading3"/>
      </w:pPr>
      <w:r>
        <w:t xml:space="preserve">Review and act on advisories</w:t>
      </w:r>
    </w:p>
    <w:p>
      <w:pPr>
        <w:pStyle w:val="FirstParagraph"/>
      </w:pPr>
      <w:r>
        <w:t xml:space="preserve">Scenario: routine check of the advisory queue to ensure nothing is going stale or unaddressed.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#/advisories</w:t>
      </w:r>
      <w:r>
        <w:t xml:space="preserve"> </w:t>
      </w:r>
      <w:r>
        <w:t xml:space="preserve">— filter for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status. Sort by severity.</w:t>
      </w:r>
    </w:p>
    <w:p>
      <w:pPr>
        <w:pStyle w:val="Compact"/>
        <w:numPr>
          <w:ilvl w:val="0"/>
          <w:numId w:val="1003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advisory: confirm the accountable DA is engaged. If it has been open more than a day without action, intervene directly.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advisories older than the expected resolution time: contact the DA and ask for a disposition date.</w:t>
      </w:r>
    </w:p>
    <w:p>
      <w:pPr>
        <w:pStyle w:val="Compact"/>
        <w:numPr>
          <w:ilvl w:val="0"/>
          <w:numId w:val="1003"/>
        </w:numPr>
      </w:pPr>
      <w:r>
        <w:t xml:space="preserve">For advisories that represent accepted ongoing conditions: dismiss with a clear, auditable reason. You are accountable for every dismissal.</w:t>
      </w:r>
    </w:p>
    <w:p>
      <w:pPr>
        <w:pStyle w:val="Compact"/>
        <w:numPr>
          <w:ilvl w:val="0"/>
          <w:numId w:val="1003"/>
        </w:numPr>
      </w:pPr>
      <w:r>
        <w:t xml:space="preserve">For advisories that have been automatically resolved: verify the resolution is genuine (check the underlying system/environment record).</w:t>
      </w:r>
    </w:p>
    <w:bookmarkEnd w:id="25"/>
    <w:bookmarkStart w:id="26" w:name="X4fdd18ef9d8fed41babaa07b1a473e11359cb09"/>
    <w:p>
      <w:pPr>
        <w:pStyle w:val="Heading3"/>
      </w:pPr>
      <w:r>
        <w:t xml:space="preserve">Quarterly policy review using advisory data</w:t>
      </w:r>
    </w:p>
    <w:p>
      <w:pPr>
        <w:pStyle w:val="FirstParagraph"/>
      </w:pPr>
      <w:r>
        <w:t xml:space="preserve">Scenario: annual or material-change review of the E&amp;RM policy, using Conduit data to surface patterns.</w:t>
      </w:r>
    </w:p>
    <w:p>
      <w:pPr>
        <w:pStyle w:val="Compact"/>
        <w:numPr>
          <w:ilvl w:val="0"/>
          <w:numId w:val="1004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#/advisories</w:t>
      </w:r>
      <w:r>
        <w:t xml:space="preserve"> </w:t>
      </w:r>
      <w:r>
        <w:t xml:space="preserve">— filter by the past quarter. Review which advisory types are most frequent.</w:t>
      </w:r>
    </w:p>
    <w:p>
      <w:pPr>
        <w:pStyle w:val="Compact"/>
        <w:numPr>
          <w:ilvl w:val="0"/>
          <w:numId w:val="1004"/>
        </w:numPr>
      </w:pPr>
      <w:r>
        <w:t xml:space="preserve">High frequency of</w:t>
      </w:r>
      <w:r>
        <w:t xml:space="preserve"> </w:t>
      </w:r>
      <w:r>
        <w:rPr>
          <w:rStyle w:val="VerbatimChar"/>
        </w:rPr>
        <w:t xml:space="preserve">WatershedMismatch</w:t>
      </w:r>
      <w:r>
        <w:t xml:space="preserve"> </w:t>
      </w:r>
      <w:r>
        <w:t xml:space="preserve">→ domain architects may need clearer topology guidance.</w:t>
      </w:r>
    </w:p>
    <w:p>
      <w:pPr>
        <w:pStyle w:val="Compact"/>
        <w:numPr>
          <w:ilvl w:val="0"/>
          <w:numId w:val="1004"/>
        </w:numPr>
      </w:pPr>
      <w:r>
        <w:t xml:space="preserve">High frequency of</w:t>
      </w:r>
      <w:r>
        <w:t xml:space="preserve"> </w:t>
      </w:r>
      <w:r>
        <w:rPr>
          <w:rStyle w:val="VerbatimChar"/>
        </w:rPr>
        <w:t xml:space="preserve">UndocumentedInterface</w:t>
      </w:r>
      <w:r>
        <w:t xml:space="preserve"> </w:t>
      </w:r>
      <w:r>
        <w:t xml:space="preserve">→ provider capability declaration is not being done consistently; process enforcement is needed.</w:t>
      </w:r>
    </w:p>
    <w:p>
      <w:pPr>
        <w:pStyle w:val="Compact"/>
        <w:numPr>
          <w:ilvl w:val="0"/>
          <w:numId w:val="1004"/>
        </w:numPr>
      </w:pPr>
      <w:r>
        <w:t xml:space="preserve">High frequency of</w:t>
      </w:r>
      <w:r>
        <w:t xml:space="preserve"> </w:t>
      </w:r>
      <w:r>
        <w:rPr>
          <w:rStyle w:val="VerbatimChar"/>
        </w:rPr>
        <w:t xml:space="preserve">ScheduleContention</w:t>
      </w:r>
      <w:r>
        <w:t xml:space="preserve"> </w:t>
      </w:r>
      <w:r>
        <w:t xml:space="preserve">→ the scheduling priority rules may need refinement, or programs are under-declaring their environment requirements.</w:t>
      </w:r>
    </w:p>
    <w:p>
      <w:pPr>
        <w:pStyle w:val="Compact"/>
        <w:numPr>
          <w:ilvl w:val="0"/>
          <w:numId w:val="1004"/>
        </w:numPr>
      </w:pPr>
      <w:r>
        <w:t xml:space="preserve">High frequency of manual dismissals with thin rationale → the advisory is not useful; consider retiring or recalibrating the reactive policy threshold.</w:t>
      </w:r>
    </w:p>
    <w:p>
      <w:pPr>
        <w:pStyle w:val="Compact"/>
        <w:numPr>
          <w:ilvl w:val="0"/>
          <w:numId w:val="1004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</w:t>
      </w:r>
      <w:r>
        <w:t xml:space="preserve"> </w:t>
      </w:r>
      <w:r>
        <w:t xml:space="preserve">(Dashboard) — review program-level cost totals. Flag any programs with environments that lack a clear payer (should have triggered</w:t>
      </w:r>
      <w:r>
        <w:t xml:space="preserve"> </w:t>
      </w:r>
      <w:r>
        <w:rPr>
          <w:rStyle w:val="VerbatimChar"/>
        </w:rPr>
        <w:t xml:space="preserve">decommission</w:t>
      </w:r>
      <w:r>
        <w:t xml:space="preserve"> </w:t>
      </w:r>
      <w:r>
        <w:t xml:space="preserve">advisories already).</w:t>
      </w:r>
    </w:p>
    <w:p>
      <w:pPr>
        <w:pStyle w:val="Compact"/>
        <w:numPr>
          <w:ilvl w:val="0"/>
          <w:numId w:val="1004"/>
        </w:numPr>
      </w:pPr>
      <w:r>
        <w:t xml:space="preserve">Update policy language where repeated exceptions indicate a rule that no longer fits practice. Document changes in the policy header.</w:t>
      </w:r>
    </w:p>
    <w:bookmarkEnd w:id="26"/>
    <w:bookmarkEnd w:id="27"/>
    <w:bookmarkStart w:id="28" w:name="what-to-monitor"/>
    <w:p>
      <w:pPr>
        <w:pStyle w:val="Heading2"/>
      </w:pPr>
      <w:r>
        <w:t xml:space="preserve">What to monitor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#/advisories</w:t>
      </w:r>
      <w:r>
        <w:rPr>
          <w:b/>
          <w:bCs/>
        </w:rPr>
        <w:t xml:space="preserve"> </w:t>
      </w:r>
      <w:r>
        <w:rPr>
          <w:b/>
          <w:bCs/>
        </w:rPr>
        <w:t xml:space="preserve">— all open, especially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critical</w:t>
      </w:r>
      <w:r>
        <w:t xml:space="preserve"> </w:t>
      </w:r>
      <w:r>
        <w:t xml:space="preserve">— nothing critical should be open for more than 24 hours without active engagement.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#/releases</w:t>
      </w:r>
      <w:r>
        <w:t xml:space="preserve"> </w:t>
      </w:r>
      <w:r>
        <w:t xml:space="preserve">— any release sitting at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 </w:t>
      </w:r>
      <w:r>
        <w:t xml:space="preserve">with readiness requested but not progressing. These stall because a TL has not responded or an objection is unresolved.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#/advisories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ScheduleContention</w:t>
      </w:r>
      <w:r>
        <w:t xml:space="preserve"> </w:t>
      </w:r>
      <w:r>
        <w:t xml:space="preserve">— cross-program contention requires your direct involvement.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</w:t>
      </w:r>
      <w:r>
        <w:rPr>
          <w:b/>
          <w:bCs/>
        </w:rPr>
        <w:t xml:space="preserve"> </w:t>
      </w:r>
      <w:r>
        <w:rPr>
          <w:b/>
          <w:bCs/>
        </w:rPr>
        <w:t xml:space="preserve">(Dashboard) — advisory counts trending up</w:t>
      </w:r>
      <w:r>
        <w:t xml:space="preserve"> </w:t>
      </w:r>
      <w:r>
        <w:t xml:space="preserve">— a rising count across programs signals systemic governance problems, not individual issues.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#/schedule</w:t>
      </w:r>
      <w:r>
        <w:t xml:space="preserve"> </w:t>
      </w:r>
      <w:r>
        <w:t xml:space="preserve">— before each planning cycle, ensure no unresolved contention exists going into the next release window.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#/advisories</w:t>
      </w:r>
      <w:r>
        <w:rPr>
          <w:b/>
          <w:bCs/>
        </w:rPr>
        <w:t xml:space="preserve"> </w:t>
      </w:r>
      <w:r>
        <w:rPr>
          <w:b/>
          <w:bCs/>
        </w:rPr>
        <w:t xml:space="preserve">— unallocated environments</w:t>
      </w:r>
      <w:r>
        <w:t xml:space="preserve"> </w:t>
      </w:r>
      <w:r>
        <w:t xml:space="preserve">— any environment without a clear payer must be decommissioned. The advisory fires automatically; your job is to drive resolution.</w:t>
      </w:r>
    </w:p>
    <w:bookmarkEnd w:id="28"/>
    <w:bookmarkStart w:id="30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6"/>
        </w:numPr>
      </w:pPr>
      <w:hyperlink r:id="rId20">
        <w:r>
          <w:rPr>
            <w:rStyle w:val="Hyperlink"/>
          </w:rPr>
          <w:t xml:space="preserve">Policy</w:t>
        </w:r>
      </w:hyperlink>
    </w:p>
    <w:p>
      <w:pPr>
        <w:pStyle w:val="Compact"/>
        <w:numPr>
          <w:ilvl w:val="0"/>
          <w:numId w:val="1006"/>
        </w:numPr>
      </w:pPr>
      <w:hyperlink r:id="rId29">
        <w:r>
          <w:rPr>
            <w:rStyle w:val="Hyperlink"/>
          </w:rPr>
          <w:t xml:space="preserve">Full RACI matrix in the policy</w:t>
        </w:r>
      </w:hyperlink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environments-policy.md" TargetMode="External" /><Relationship Type="http://schemas.openxmlformats.org/officeDocument/2006/relationships/hyperlink" Id="rId29" Target="../environments-policy.md#raci-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environments-policy.md" TargetMode="External" /><Relationship Type="http://schemas.openxmlformats.org/officeDocument/2006/relationships/hyperlink" Id="rId29" Target="../environments-policy.md#raci-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2026-04-16T19:04:34Z</dcterms:created>
  <dcterms:modified xsi:type="dcterms:W3CDTF">2026-04-16T19:04:34Z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