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conduit-enterprise-architect-guide"/>
    <w:p>
      <w:pPr>
        <w:pStyle w:val="Heading1"/>
      </w:pPr>
      <w:r>
        <w:t xml:space="preserve">Conduit — Enterprise Architect Guide</w:t>
      </w:r>
    </w:p>
    <w:p>
      <w:pPr>
        <w:pStyle w:val="FirstParagraph"/>
      </w:pPr>
      <w:r>
        <w:rPr>
          <w:b/>
          <w:bCs/>
        </w:rPr>
        <w:t xml:space="preserve">Role:</w:t>
      </w:r>
      <w:r>
        <w:t xml:space="preserve"> </w:t>
      </w:r>
      <w:r>
        <w:t xml:space="preserve">Enterprise Architect (EA)</w:t>
      </w:r>
      <w:r>
        <w:t xml:space="preserve"> </w:t>
      </w:r>
      <w:r>
        <w:rPr>
          <w:b/>
          <w:bCs/>
        </w:rPr>
        <w:t xml:space="preserve">Policy reference:</w:t>
      </w:r>
      <w:r>
        <w:t xml:space="preserve"> </w:t>
      </w:r>
      <w:hyperlink r:id="rId20">
        <w:r>
          <w:rPr>
            <w:rStyle w:val="Hyperlink"/>
          </w:rPr>
          <w:t xml:space="preserve">Environments &amp; Release Management Policy</w:t>
        </w:r>
      </w:hyperlink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2026-04-16</w:t>
      </w:r>
    </w:p>
    <w:bookmarkStart w:id="21" w:name="your-accountability-in-erm"/>
    <w:p>
      <w:pPr>
        <w:pStyle w:val="Heading2"/>
      </w:pPr>
      <w:r>
        <w:t xml:space="preserve">Your accountability in E&amp;RM</w:t>
      </w:r>
    </w:p>
    <w:p>
      <w:pPr>
        <w:pStyle w:val="FirstParagraph"/>
      </w:pPr>
      <w:r>
        <w:t xml:space="preserve">You own enterprise environment strategy and reference topology. The RACI assigns you as the single accountable voice on cross-utility shared environment approvals, and you are consulted on cross-program scheduling exceptions.</w:t>
      </w:r>
    </w:p>
    <w:bookmarkEnd w:id="21"/>
    <w:bookmarkStart w:id="22" w:name="what-you-do-in-conduit"/>
    <w:p>
      <w:pPr>
        <w:pStyle w:val="Heading2"/>
      </w:pPr>
      <w:r>
        <w:t xml:space="preserve">What you do in Conduit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 (RACI)</w:t>
            </w:r>
          </w:p>
        </w:tc>
        <w:tc>
          <w:tcPr/>
          <w:p>
            <w:pPr>
              <w:pStyle w:val="Compact"/>
            </w:pPr>
            <w:r>
              <w:t xml:space="preserve">Where in Conduit</w:t>
            </w:r>
          </w:p>
        </w:tc>
        <w:tc>
          <w:tcPr/>
          <w:p>
            <w:pPr>
              <w:pStyle w:val="Compact"/>
            </w:pPr>
            <w:r>
              <w:t xml:space="preserve">How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 cross-utility shared environment (A)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#/graph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#/system/{id}</w:t>
            </w:r>
          </w:p>
        </w:tc>
        <w:tc>
          <w:tcPr/>
          <w:p>
            <w:pPr>
              <w:pStyle w:val="Compact"/>
            </w:pPr>
            <w:r>
              <w:t xml:space="preserve">Review dependency topology and environment allocation; confirm the cost-allocation basis is documented before approval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Authorize scheduling exception — cross-program (C)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#/schedule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#/advisories</w:t>
            </w:r>
          </w:p>
        </w:tc>
        <w:tc>
          <w:tcPr/>
          <w:p>
            <w:pPr>
              <w:pStyle w:val="Compact"/>
            </w:pPr>
            <w:r>
              <w:t xml:space="preserve">Review the Schedule Contention advisory and Gantt context; provide written input to DIR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Declare system / environment / dependency (C)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#/systems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#/system/{id}</w:t>
            </w:r>
          </w:p>
        </w:tc>
        <w:tc>
          <w:tcPr/>
          <w:p>
            <w:pPr>
              <w:pStyle w:val="Compact"/>
            </w:pPr>
            <w:r>
              <w:t xml:space="preserve">Review and comment on topology proposals raised by SAs and DAs</w:t>
            </w:r>
          </w:p>
        </w:tc>
      </w:tr>
    </w:tbl>
    <w:bookmarkEnd w:id="22"/>
    <w:bookmarkStart w:id="26" w:name="typical-workflows"/>
    <w:p>
      <w:pPr>
        <w:pStyle w:val="Heading2"/>
      </w:pPr>
      <w:r>
        <w:t xml:space="preserve">Typical workflows</w:t>
      </w:r>
    </w:p>
    <w:bookmarkStart w:id="23" w:name="X8eb04ba77d6561337918f431ea5d8da638a38c6"/>
    <w:p>
      <w:pPr>
        <w:pStyle w:val="Heading3"/>
      </w:pPr>
      <w:r>
        <w:t xml:space="preserve">Review a proposed cross-utility shared environment</w:t>
      </w:r>
    </w:p>
    <w:p>
      <w:pPr>
        <w:pStyle w:val="FirstParagraph"/>
      </w:pPr>
      <w:r>
        <w:t xml:space="preserve">Scenario: a Domain or Solution Architect proposes that two programs share an environment. DIR asks for your approval.</w:t>
      </w:r>
    </w:p>
    <w:p>
      <w:pPr>
        <w:pStyle w:val="Compact"/>
        <w:numPr>
          <w:ilvl w:val="0"/>
          <w:numId w:val="1001"/>
        </w:numPr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#/graph</w:t>
      </w:r>
      <w:r>
        <w:t xml:space="preserve"> </w:t>
      </w:r>
      <w:r>
        <w:t xml:space="preserve">to view the current dependency topology. Look for the systems involved and confirm the sharing relationship is architecturally sound.</w:t>
      </w:r>
    </w:p>
    <w:p>
      <w:pPr>
        <w:pStyle w:val="Compact"/>
        <w:numPr>
          <w:ilvl w:val="0"/>
          <w:numId w:val="1001"/>
        </w:numPr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#/system/{id}</w:t>
      </w:r>
      <w:r>
        <w:t xml:space="preserve"> </w:t>
      </w:r>
      <w:r>
        <w:t xml:space="preserve">for each system in question. Check the Environment section: verify</w:t>
      </w:r>
      <w:r>
        <w:t xml:space="preserve"> </w:t>
      </w:r>
      <w:r>
        <w:rPr>
          <w:rStyle w:val="VerbatimChar"/>
        </w:rPr>
        <w:t xml:space="preserve">tier</w:t>
      </w:r>
      <w:r>
        <w:t xml:space="preserve">,</w:t>
      </w:r>
      <w:r>
        <w:t xml:space="preserve"> </w:t>
      </w:r>
      <w:r>
        <w:rPr>
          <w:rStyle w:val="VerbatimChar"/>
        </w:rPr>
        <w:t xml:space="preserve">watershed</w:t>
      </w:r>
      <w:r>
        <w:t xml:space="preserve">, and that a cost-allocation basis is noted in the environment notes.</w:t>
      </w:r>
    </w:p>
    <w:p>
      <w:pPr>
        <w:pStyle w:val="Compact"/>
        <w:numPr>
          <w:ilvl w:val="0"/>
          <w:numId w:val="1001"/>
        </w:numPr>
      </w:pPr>
      <w:r>
        <w:t xml:space="preserve">Confirm no</w:t>
      </w:r>
      <w:r>
        <w:t xml:space="preserve"> </w:t>
      </w:r>
      <w:r>
        <w:rPr>
          <w:rStyle w:val="VerbatimChar"/>
        </w:rPr>
        <w:t xml:space="preserve">WatershedMismatch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CircularDependency</w:t>
      </w:r>
      <w:r>
        <w:t xml:space="preserve"> </w:t>
      </w:r>
      <w:r>
        <w:t xml:space="preserve">advisories are open for the affected environments (</w:t>
      </w:r>
      <w:r>
        <w:rPr>
          <w:rStyle w:val="VerbatimChar"/>
        </w:rPr>
        <w:t xml:space="preserve">#/advisories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 satisfied, confirm approval to DIR in writing. If not, raise a Manual advisory at</w:t>
      </w:r>
      <w:r>
        <w:t xml:space="preserve"> </w:t>
      </w:r>
      <w:r>
        <w:rPr>
          <w:rStyle w:val="VerbatimChar"/>
        </w:rPr>
        <w:t xml:space="preserve">#/advisories</w:t>
      </w:r>
      <w:r>
        <w:t xml:space="preserve"> </w:t>
      </w:r>
      <w:r>
        <w:t xml:space="preserve">documenting the concern.</w:t>
      </w:r>
    </w:p>
    <w:bookmarkEnd w:id="23"/>
    <w:bookmarkStart w:id="24" w:name="Xecadfbe253f17f47bd263a541d8f85b5e0d3595"/>
    <w:p>
      <w:pPr>
        <w:pStyle w:val="Heading3"/>
      </w:pPr>
      <w:r>
        <w:t xml:space="preserve">Review a cross-program scheduling exception request</w:t>
      </w:r>
    </w:p>
    <w:p>
      <w:pPr>
        <w:pStyle w:val="FirstParagraph"/>
      </w:pPr>
      <w:r>
        <w:t xml:space="preserve">Scenario: two programs are competing for the same environment slot and DIR seeks your input.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#/schedule</w:t>
      </w:r>
      <w:r>
        <w:t xml:space="preserve"> </w:t>
      </w:r>
      <w:r>
        <w:t xml:space="preserve">— find the conflicting programs on the Gantt. Identify the release windows in contention.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#/advisories</w:t>
      </w:r>
      <w:r>
        <w:t xml:space="preserve"> </w:t>
      </w:r>
      <w:r>
        <w:t xml:space="preserve">— filter for</w:t>
      </w:r>
      <w:r>
        <w:t xml:space="preserve"> </w:t>
      </w:r>
      <w:r>
        <w:rPr>
          <w:rStyle w:val="VerbatimChar"/>
        </w:rPr>
        <w:t xml:space="preserve">ScheduleContention</w:t>
      </w:r>
      <w:r>
        <w:t xml:space="preserve"> </w:t>
      </w:r>
      <w:r>
        <w:t xml:space="preserve">advisories on the relevant environments.</w:t>
      </w:r>
    </w:p>
    <w:p>
      <w:pPr>
        <w:pStyle w:val="Compact"/>
        <w:numPr>
          <w:ilvl w:val="0"/>
          <w:numId w:val="1002"/>
        </w:numPr>
      </w:pPr>
      <w:r>
        <w:t xml:space="preserve">Review the priority ranking from the policy (regulatory &gt; capex milestone &gt; cross-program integration &gt; program-internal).</w:t>
      </w:r>
    </w:p>
    <w:p>
      <w:pPr>
        <w:pStyle w:val="Compact"/>
        <w:numPr>
          <w:ilvl w:val="0"/>
          <w:numId w:val="1002"/>
        </w:numPr>
      </w:pPr>
      <w:r>
        <w:t xml:space="preserve">Provide written recommendation to DIR. If the exception is warranted, note the precedent risk.</w:t>
      </w:r>
    </w:p>
    <w:bookmarkEnd w:id="24"/>
    <w:bookmarkStart w:id="25" w:name="quarterly-review-of-enterprise-topology"/>
    <w:p>
      <w:pPr>
        <w:pStyle w:val="Heading3"/>
      </w:pPr>
      <w:r>
        <w:t xml:space="preserve">Quarterly review of enterprise topology</w:t>
      </w:r>
    </w:p>
    <w:p>
      <w:pPr>
        <w:pStyle w:val="FirstParagraph"/>
      </w:pPr>
      <w:r>
        <w:t xml:space="preserve">Scenario: routine quarterly hygiene to maintain an accurate picture of the enterprise environment landscape.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#/graph</w:t>
      </w:r>
      <w:r>
        <w:t xml:space="preserve"> </w:t>
      </w:r>
      <w:r>
        <w:t xml:space="preserve">— inspect the 3D dependency graph for unexpected cross-domain connections, isolated nodes, or dense clusters that suggest coupling risk.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#/</w:t>
      </w:r>
      <w:r>
        <w:t xml:space="preserve"> </w:t>
      </w:r>
      <w:r>
        <w:t xml:space="preserve">(Dashboard) — check advisory counts across programs. High advisory volume in a domain signals governance gaps.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#/advisories</w:t>
      </w:r>
      <w:r>
        <w:t xml:space="preserve"> </w:t>
      </w:r>
      <w:r>
        <w:t xml:space="preserve">— review any open</w:t>
      </w:r>
      <w:r>
        <w:t xml:space="preserve"> </w:t>
      </w:r>
      <w:r>
        <w:rPr>
          <w:rStyle w:val="VerbatimChar"/>
        </w:rPr>
        <w:t xml:space="preserve">CircularDependency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WatershedMismatch</w:t>
      </w:r>
      <w:r>
        <w:t xml:space="preserve"> </w:t>
      </w:r>
      <w:r>
        <w:t xml:space="preserve">advisories that remain unresolved. Escalate to the relevant DA if stale.</w:t>
      </w:r>
    </w:p>
    <w:p>
      <w:pPr>
        <w:pStyle w:val="Compact"/>
        <w:numPr>
          <w:ilvl w:val="0"/>
          <w:numId w:val="1003"/>
        </w:numPr>
      </w:pPr>
      <w:r>
        <w:t xml:space="preserve">Document findings and any reference topology updates in your architecture records.</w:t>
      </w:r>
    </w:p>
    <w:bookmarkEnd w:id="25"/>
    <w:bookmarkEnd w:id="26"/>
    <w:bookmarkStart w:id="27" w:name="what-to-monitor"/>
    <w:p>
      <w:pPr>
        <w:pStyle w:val="Heading2"/>
      </w:pPr>
      <w:r>
        <w:t xml:space="preserve">What to monitor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#/graph</w:t>
      </w:r>
      <w:r>
        <w:t xml:space="preserve"> </w:t>
      </w:r>
      <w:r>
        <w:t xml:space="preserve">— watch for emerging cross-domain dependency patterns that cross utility boundaries without a documented allocation.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#/advisories</w:t>
      </w:r>
      <w:r>
        <w:rPr>
          <w:b/>
          <w:bCs/>
        </w:rPr>
        <w:t xml:space="preserve"> </w:t>
      </w:r>
      <w:r>
        <w:rPr>
          <w:b/>
          <w:bCs/>
        </w:rPr>
        <w:t xml:space="preserve">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CircularDependency</w:t>
      </w:r>
      <w:r>
        <w:t xml:space="preserve"> </w:t>
      </w:r>
      <w:r>
        <w:t xml:space="preserve">— any cycle involving systems from different utilities requires your attention.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#/advisories</w:t>
      </w:r>
      <w:r>
        <w:rPr>
          <w:b/>
          <w:bCs/>
        </w:rPr>
        <w:t xml:space="preserve"> </w:t>
      </w:r>
      <w:r>
        <w:rPr>
          <w:b/>
          <w:bCs/>
        </w:rPr>
        <w:t xml:space="preserve">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WatershedMismatch</w:t>
      </w:r>
      <w:r>
        <w:t xml:space="preserve"> </w:t>
      </w:r>
      <w:r>
        <w:t xml:space="preserve">— prod-like environments depending on path-to-prod paths is an architectural risk.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#/</w:t>
      </w:r>
      <w:r>
        <w:rPr>
          <w:b/>
          <w:bCs/>
        </w:rPr>
        <w:t xml:space="preserve"> </w:t>
      </w:r>
      <w:r>
        <w:rPr>
          <w:b/>
          <w:bCs/>
        </w:rPr>
        <w:t xml:space="preserve">(Dashboard) — advisory counts by program</w:t>
      </w:r>
      <w:r>
        <w:t xml:space="preserve"> </w:t>
      </w:r>
      <w:r>
        <w:t xml:space="preserve">— a spike in open advisories may signal a structural environment problem rather than a one-off issue.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#/schedule</w:t>
      </w:r>
      <w:r>
        <w:t xml:space="preserve"> </w:t>
      </w:r>
      <w:r>
        <w:t xml:space="preserve">— before each planning cycle, verify no cross-program contention is building without a resolution path.</w:t>
      </w:r>
    </w:p>
    <w:bookmarkEnd w:id="27"/>
    <w:bookmarkStart w:id="29" w:name="related"/>
    <w:p>
      <w:pPr>
        <w:pStyle w:val="Heading2"/>
      </w:pPr>
      <w:r>
        <w:t xml:space="preserve">Related</w:t>
      </w:r>
    </w:p>
    <w:p>
      <w:pPr>
        <w:pStyle w:val="Compact"/>
        <w:numPr>
          <w:ilvl w:val="0"/>
          <w:numId w:val="1005"/>
        </w:numPr>
      </w:pPr>
      <w:hyperlink r:id="rId20">
        <w:r>
          <w:rPr>
            <w:rStyle w:val="Hyperlink"/>
          </w:rPr>
          <w:t xml:space="preserve">Policy</w:t>
        </w:r>
      </w:hyperlink>
    </w:p>
    <w:p>
      <w:pPr>
        <w:pStyle w:val="Compact"/>
        <w:numPr>
          <w:ilvl w:val="0"/>
          <w:numId w:val="1005"/>
        </w:numPr>
      </w:pPr>
      <w:hyperlink r:id="rId28">
        <w:r>
          <w:rPr>
            <w:rStyle w:val="Hyperlink"/>
          </w:rPr>
          <w:t xml:space="preserve">Full RACI matrix in the policy</w:t>
        </w:r>
      </w:hyperlink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../environments-policy.md" TargetMode="External" /><Relationship Type="http://schemas.openxmlformats.org/officeDocument/2006/relationships/hyperlink" Id="rId28" Target="../environments-policy.md#raci-matri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environments-policy.md" TargetMode="External" /><Relationship Type="http://schemas.openxmlformats.org/officeDocument/2006/relationships/hyperlink" Id="rId28" Target="../environments-policy.md#raci-matri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2026-04-16T19:04:34Z</dcterms:created>
  <dcterms:modified xsi:type="dcterms:W3CDTF">2026-04-16T19:04:34Z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