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duit-tech-lead-guide"/>
    <w:p>
      <w:pPr>
        <w:pStyle w:val="Heading1"/>
      </w:pPr>
      <w:r>
        <w:t xml:space="preserve">Conduit — Tech Lead Guide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Tech Lead (TL)</w:t>
      </w:r>
      <w:r>
        <w:t xml:space="preserve"> </w:t>
      </w:r>
      <w:r>
        <w:rPr>
          <w:b/>
          <w:bCs/>
        </w:rPr>
        <w:t xml:space="preserve">Policy reference:</w:t>
      </w:r>
      <w:r>
        <w:t xml:space="preserve"> </w:t>
      </w:r>
      <w:hyperlink r:id="rId20">
        <w:r>
          <w:rPr>
            <w:rStyle w:val="Hyperlink"/>
          </w:rPr>
          <w:t xml:space="preserve">Environments &amp; Release Management Policy</w:t>
        </w:r>
      </w:hyperlink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2026-04-16</w:t>
      </w:r>
    </w:p>
    <w:bookmarkStart w:id="21" w:name="your-accountability-in-erm"/>
    <w:p>
      <w:pPr>
        <w:pStyle w:val="Heading2"/>
      </w:pPr>
      <w:r>
        <w:t xml:space="preserve">Your accountability in E&amp;RM</w:t>
      </w:r>
    </w:p>
    <w:p>
      <w:pPr>
        <w:pStyle w:val="FirstParagraph"/>
      </w:pPr>
      <w:r>
        <w:t xml:space="preserve">You do the operational work that keeps system records accurate and releases moving: you update environment economics, declare maintenance windows, confirm your system’s readiness for releases, and raise advisories when you see technical blockers. The PO is accountable for release decisions; you are accountable for the technical facts that inform those decisions.</w:t>
      </w:r>
    </w:p>
    <w:bookmarkEnd w:id="21"/>
    <w:bookmarkStart w:id="22" w:name="what-you-do-in-conduit"/>
    <w:p>
      <w:pPr>
        <w:pStyle w:val="Heading2"/>
      </w:pPr>
      <w:r>
        <w:t xml:space="preserve">What you do in Conduit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 (RACI)</w:t>
            </w:r>
          </w:p>
        </w:tc>
        <w:tc>
          <w:tcPr/>
          <w:p>
            <w:pPr>
              <w:pStyle w:val="Compact"/>
            </w:pPr>
            <w:r>
              <w:t xml:space="preserve">Where in Conduit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environment economics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Set and update cost per hour/day, refresh schedule, data config, scale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environment refresh — out-of-cycle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Record the refresh request; PO is accountable for business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readiness — per system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Confirm or object to readiness for each release your system is enrolled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release complete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Consult with PO on technical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advisory — manual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Raise advisories for technical blockers, integration risks, or gaps the reactive system misses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Dismiss or resolve advisory (C)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Provide input when DA or DIR is adjudicating advisories on your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or cancel environment window 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#/system/{id}</w:t>
            </w:r>
          </w:p>
        </w:tc>
        <w:tc>
          <w:tcPr/>
          <w:p>
            <w:pPr>
              <w:pStyle w:val="Compact"/>
            </w:pPr>
            <w:r>
              <w:t xml:space="preserve">Declare and manage maintenance or availability windows for your environments</w:t>
            </w:r>
          </w:p>
        </w:tc>
      </w:tr>
    </w:tbl>
    <w:bookmarkEnd w:id="22"/>
    <w:bookmarkStart w:id="27" w:name="typical-workflows"/>
    <w:p>
      <w:pPr>
        <w:pStyle w:val="Heading2"/>
      </w:pPr>
      <w:r>
        <w:t xml:space="preserve">Typical workflows</w:t>
      </w:r>
    </w:p>
    <w:bookmarkStart w:id="23" w:name="Xd1b59e744175443a4f30ecfa79edf660d11e012"/>
    <w:p>
      <w:pPr>
        <w:pStyle w:val="Heading3"/>
      </w:pPr>
      <w:r>
        <w:t xml:space="preserve">Update environment cost and refresh configuration</w:t>
      </w:r>
    </w:p>
    <w:p>
      <w:pPr>
        <w:pStyle w:val="FirstParagraph"/>
      </w:pPr>
      <w:r>
        <w:t xml:space="preserve">Scenario: a vendor contract has changed, infrastructure costs have been repriced, or the standard refresh cadence needs adjustment.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#/system/{id}</w:t>
      </w:r>
      <w:r>
        <w:t xml:space="preserve"> </w:t>
      </w:r>
      <w:r>
        <w:t xml:space="preserve">for your system.</w:t>
      </w:r>
    </w:p>
    <w:p>
      <w:pPr>
        <w:pStyle w:val="Compact"/>
        <w:numPr>
          <w:ilvl w:val="0"/>
          <w:numId w:val="1001"/>
        </w:numPr>
      </w:pPr>
      <w:r>
        <w:t xml:space="preserve">Open the relevant environment — click into it to see the configuration panel.</w:t>
      </w:r>
    </w:p>
    <w:p>
      <w:pPr>
        <w:pStyle w:val="Compact"/>
        <w:numPr>
          <w:ilvl w:val="0"/>
          <w:numId w:val="1001"/>
        </w:numPr>
      </w:pPr>
      <w:r>
        <w:t xml:space="preserve">Update cost fields (per hour or per day), refresh schedule, data configuration notes, and scale details.</w:t>
      </w:r>
    </w:p>
    <w:p>
      <w:pPr>
        <w:pStyle w:val="Compact"/>
        <w:numPr>
          <w:ilvl w:val="0"/>
          <w:numId w:val="1001"/>
        </w:numPr>
      </w:pPr>
      <w:r>
        <w:t xml:space="preserve">If the environment is shared across programs, verify the cost allocation basis is recorded in the notes. Unallocated environments are flagged for decommissioning.</w:t>
      </w:r>
    </w:p>
    <w:p>
      <w:pPr>
        <w:pStyle w:val="Compact"/>
        <w:numPr>
          <w:ilvl w:val="0"/>
          <w:numId w:val="1001"/>
        </w:numPr>
      </w:pPr>
      <w:r>
        <w:t xml:space="preserve">Save. Dashboard cost rollups update immediately.</w:t>
      </w:r>
    </w:p>
    <w:bookmarkEnd w:id="23"/>
    <w:bookmarkStart w:id="24" w:name="Xf751c366734e25b68982c0c021b213a22c7623e"/>
    <w:p>
      <w:pPr>
        <w:pStyle w:val="Heading3"/>
      </w:pPr>
      <w:r>
        <w:t xml:space="preserve">Declare an environment window for planned maintenance</w:t>
      </w:r>
    </w:p>
    <w:p>
      <w:pPr>
        <w:pStyle w:val="FirstParagraph"/>
      </w:pPr>
      <w:r>
        <w:t xml:space="preserve">Scenario: you are scheduling downtime or a locked window and need other teams to know this environment is unavailable.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#/system/{id}</w:t>
      </w:r>
      <w:r>
        <w:t xml:space="preserve">, then to the specific environment.</w:t>
      </w:r>
    </w:p>
    <w:p>
      <w:pPr>
        <w:pStyle w:val="Compact"/>
        <w:numPr>
          <w:ilvl w:val="0"/>
          <w:numId w:val="1002"/>
        </w:numPr>
      </w:pPr>
      <w:r>
        <w:t xml:space="preserve">In the Environment Windows section, click</w:t>
      </w:r>
      <w:r>
        <w:t xml:space="preserve"> </w:t>
      </w:r>
      <w:r>
        <w:rPr>
          <w:b/>
          <w:bCs/>
        </w:rPr>
        <w:t xml:space="preserve">Declare Window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window_type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for downtime,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for change-freeze periods,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to explicitly advertise a slot.</w:t>
      </w:r>
    </w:p>
    <w:p>
      <w:pPr>
        <w:pStyle w:val="Compact"/>
        <w:numPr>
          <w:ilvl w:val="0"/>
          <w:numId w:val="1002"/>
        </w:numPr>
      </w:pPr>
      <w:r>
        <w:t xml:space="preserve">Enter the purpose, start time, and end time.</w:t>
      </w:r>
    </w:p>
    <w:p>
      <w:pPr>
        <w:pStyle w:val="Compact"/>
        <w:numPr>
          <w:ilvl w:val="0"/>
          <w:numId w:val="1002"/>
        </w:numPr>
      </w:pPr>
      <w:r>
        <w:t xml:space="preserve">Submit. The window appears in</w:t>
      </w:r>
      <w:r>
        <w:t xml:space="preserve"> </w:t>
      </w:r>
      <w:r>
        <w:rPr>
          <w:rStyle w:val="VerbatimChar"/>
        </w:rPr>
        <w:t xml:space="preserve">#/schedule</w:t>
      </w:r>
      <w:r>
        <w:t xml:space="preserve"> </w:t>
      </w:r>
      <w:r>
        <w:t xml:space="preserve">for all teams to see.</w:t>
      </w:r>
    </w:p>
    <w:p>
      <w:pPr>
        <w:pStyle w:val="Compact"/>
        <w:numPr>
          <w:ilvl w:val="0"/>
          <w:numId w:val="1002"/>
        </w:numPr>
      </w:pPr>
      <w:r>
        <w:t xml:space="preserve">If the window is cancelled, return to the same environment and click</w:t>
      </w:r>
      <w:r>
        <w:t xml:space="preserve"> </w:t>
      </w:r>
      <w:r>
        <w:rPr>
          <w:b/>
          <w:bCs/>
        </w:rPr>
        <w:t xml:space="preserve">Cancel Window</w:t>
      </w:r>
      <w:r>
        <w:t xml:space="preserve">.</w:t>
      </w:r>
    </w:p>
    <w:bookmarkEnd w:id="24"/>
    <w:bookmarkStart w:id="25" w:name="confirm-readiness-for-a-release"/>
    <w:p>
      <w:pPr>
        <w:pStyle w:val="Heading3"/>
      </w:pPr>
      <w:r>
        <w:t xml:space="preserve">Confirm readiness for a release</w:t>
      </w:r>
    </w:p>
    <w:p>
      <w:pPr>
        <w:pStyle w:val="FirstParagraph"/>
      </w:pPr>
      <w:r>
        <w:t xml:space="preserve">Scenario: the PO has requested readiness for a release that includes your system.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#/releases</w:t>
      </w:r>
      <w:r>
        <w:t xml:space="preserve"> </w:t>
      </w:r>
      <w:r>
        <w:t xml:space="preserve">— find the release in question, or follow a notification link directly to</w:t>
      </w:r>
      <w:r>
        <w:t xml:space="preserve"> </w:t>
      </w:r>
      <w:r>
        <w:rPr>
          <w:rStyle w:val="VerbatimChar"/>
        </w:rPr>
        <w:t xml:space="preserve">#/release/{id}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Locate your system in the enrolled systems list. Status shows</w:t>
      </w:r>
      <w:r>
        <w:t xml:space="preserve"> </w:t>
      </w:r>
      <w:r>
        <w:rPr>
          <w:rStyle w:val="VerbatimChar"/>
        </w:rPr>
        <w:t xml:space="preserve">readiness_requested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Assess your system’s actual state: check active advisories (</w:t>
      </w:r>
      <w:r>
        <w:rPr>
          <w:rStyle w:val="VerbatimChar"/>
        </w:rPr>
        <w:t xml:space="preserve">#/advisories</w:t>
      </w:r>
      <w:r>
        <w:t xml:space="preserve">), current blockers (system profile), and environment health.</w:t>
      </w:r>
    </w:p>
    <w:p>
      <w:pPr>
        <w:pStyle w:val="Compact"/>
        <w:numPr>
          <w:ilvl w:val="0"/>
          <w:numId w:val="1003"/>
        </w:numPr>
      </w:pPr>
      <w:r>
        <w:t xml:space="preserve">If the system is ready: click</w:t>
      </w:r>
      <w:r>
        <w:t xml:space="preserve"> </w:t>
      </w:r>
      <w:r>
        <w:rPr>
          <w:b/>
          <w:bCs/>
        </w:rPr>
        <w:t xml:space="preserve">Confirm Readiness</w:t>
      </w:r>
      <w:r>
        <w:t xml:space="preserve">. Status updates 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there is a blocker: click</w:t>
      </w:r>
      <w:r>
        <w:t xml:space="preserve"> </w:t>
      </w:r>
      <w:r>
        <w:rPr>
          <w:b/>
          <w:bCs/>
        </w:rPr>
        <w:t xml:space="preserve">Object</w:t>
      </w:r>
      <w:r>
        <w:t xml:space="preserve">, enter the reason and severity. The PO sees this immediately. Do not confirm readiness you cannot stand behind — the release will be cleared by DIR based on this record.</w:t>
      </w:r>
    </w:p>
    <w:p>
      <w:pPr>
        <w:pStyle w:val="Compact"/>
        <w:numPr>
          <w:ilvl w:val="0"/>
          <w:numId w:val="1003"/>
        </w:numPr>
      </w:pPr>
      <w:r>
        <w:t xml:space="preserve">Once the blocking condition is resolved (by any party), the PO or you can record the resolution and re-confirm.</w:t>
      </w:r>
    </w:p>
    <w:bookmarkEnd w:id="25"/>
    <w:bookmarkStart w:id="26" w:name="Xa4384bb38e60d7643cf45e23c820893d073db5c"/>
    <w:p>
      <w:pPr>
        <w:pStyle w:val="Heading3"/>
      </w:pPr>
      <w:r>
        <w:t xml:space="preserve">Raise an advisory for a technical blocker</w:t>
      </w:r>
    </w:p>
    <w:p>
      <w:pPr>
        <w:pStyle w:val="FirstParagraph"/>
      </w:pPr>
      <w:r>
        <w:t xml:space="preserve">Scenario: you have identified a technical risk that the reactive advisory system has not flagged — an undeclared integration, a known upstream instability, or a timing constraint.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, click</w:t>
      </w:r>
      <w:r>
        <w:t xml:space="preserve"> </w:t>
      </w:r>
      <w:r>
        <w:rPr>
          <w:b/>
          <w:bCs/>
        </w:rPr>
        <w:t xml:space="preserve">Raise Advisory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Select the affected environment (</w:t>
      </w:r>
      <w:r>
        <w:rPr>
          <w:rStyle w:val="VerbatimChar"/>
        </w:rPr>
        <w:t xml:space="preserve">env_id</w:t>
      </w:r>
      <w:r>
        <w:t xml:space="preserve">), set</w:t>
      </w:r>
      <w:r>
        <w:t xml:space="preserve"> </w:t>
      </w:r>
      <w:r>
        <w:rPr>
          <w:rStyle w:val="VerbatimChar"/>
        </w:rPr>
        <w:t xml:space="preserve">advisory_type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Write a clear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field: what the risk is, which systems are affected, and what would resolve it.</w:t>
      </w:r>
    </w:p>
    <w:p>
      <w:pPr>
        <w:pStyle w:val="Compact"/>
        <w:numPr>
          <w:ilvl w:val="0"/>
          <w:numId w:val="1004"/>
        </w:numPr>
      </w:pPr>
      <w:r>
        <w:t xml:space="preserve">Set severity: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if it blocks release,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if it degrades confidence,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if informational only.</w:t>
      </w:r>
    </w:p>
    <w:p>
      <w:pPr>
        <w:pStyle w:val="Compact"/>
        <w:numPr>
          <w:ilvl w:val="0"/>
          <w:numId w:val="1004"/>
        </w:numPr>
      </w:pPr>
      <w:r>
        <w:t xml:space="preserve">Submit. The advisory is visible immediately to the DA, PO, and DIR.</w:t>
      </w:r>
    </w:p>
    <w:p>
      <w:pPr>
        <w:pStyle w:val="Compact"/>
        <w:numPr>
          <w:ilvl w:val="0"/>
          <w:numId w:val="1004"/>
        </w:numPr>
      </w:pPr>
      <w:r>
        <w:t xml:space="preserve">When the condition is resolved, return to the advisory and mark it resolved (or coordinate with DA who is accountable for disposition).</w:t>
      </w:r>
    </w:p>
    <w:bookmarkEnd w:id="26"/>
    <w:bookmarkEnd w:id="27"/>
    <w:bookmarkStart w:id="28" w:name="what-to-monitor"/>
    <w:p>
      <w:pPr>
        <w:pStyle w:val="Heading2"/>
      </w:pPr>
      <w:r>
        <w:t xml:space="preserve">What to monitor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#/system/{id}</w:t>
      </w:r>
      <w:r>
        <w:rPr>
          <w:b/>
          <w:bCs/>
        </w:rPr>
        <w:t xml:space="preserve"> </w:t>
      </w:r>
      <w:r>
        <w:rPr>
          <w:b/>
          <w:bCs/>
        </w:rPr>
        <w:t xml:space="preserve">— your systems</w:t>
      </w:r>
      <w:r>
        <w:t xml:space="preserve"> </w:t>
      </w:r>
      <w:r>
        <w:t xml:space="preserve">— keep environment configs and blocker notes current. Stale blocker notes propagate as</w:t>
      </w:r>
      <w:r>
        <w:t xml:space="preserve"> </w:t>
      </w:r>
      <w:r>
        <w:rPr>
          <w:rStyle w:val="VerbatimChar"/>
        </w:rPr>
        <w:t xml:space="preserve">BlockedUpstream</w:t>
      </w:r>
      <w:r>
        <w:t xml:space="preserve"> </w:t>
      </w:r>
      <w:r>
        <w:t xml:space="preserve">advisories to your dependents.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 systems you own</w:t>
      </w:r>
      <w:r>
        <w:t xml:space="preserve"> </w:t>
      </w:r>
      <w:r>
        <w:t xml:space="preserve">— you are the first person who should know about a new advisory on your system.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BlockedUpstream</w:t>
      </w:r>
      <w:r>
        <w:t xml:space="preserve"> </w:t>
      </w:r>
      <w:r>
        <w:t xml:space="preserve">— if you have unresolved blockers, downstream teams are receiving automatic advisories. Resolve your blockers and update the notes to clear them.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#/releases</w:t>
      </w:r>
      <w:r>
        <w:t xml:space="preserve"> </w:t>
      </w:r>
      <w:r>
        <w:t xml:space="preserve">— watch for pending readiness requests. Leaving a readiness request unanswered holds up the release.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#/schedule</w:t>
      </w:r>
      <w:r>
        <w:t xml:space="preserve"> </w:t>
      </w:r>
      <w:r>
        <w:t xml:space="preserve">— verify your declared windows don’t create unintended conflicts with releases that depend on your environments.</w:t>
      </w:r>
    </w:p>
    <w:bookmarkEnd w:id="28"/>
    <w:bookmarkStart w:id="30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Policy</w:t>
        </w:r>
      </w:hyperlink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Full RACI matrix in the policy</w:t>
        </w:r>
      </w:hyperlink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environments-policy.md" TargetMode="External" /><Relationship Type="http://schemas.openxmlformats.org/officeDocument/2006/relationships/hyperlink" Id="rId29" Target="../environments-policy.md#raci-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environments-policy.md" TargetMode="External" /><Relationship Type="http://schemas.openxmlformats.org/officeDocument/2006/relationships/hyperlink" Id="rId29" Target="../environments-policy.md#raci-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2026-04-16T19:04:35Z</dcterms:created>
  <dcterms:modified xsi:type="dcterms:W3CDTF">2026-04-16T19:04:35Z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