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03</w:t>
      </w:r>
    </w:p>
    <w:p>
      <w:pPr>
        <w:pStyle w:val="Heading1"/>
      </w:pPr>
      <w:r>
        <w:t>FISCAL YEAR</w:t>
      </w:r>
    </w:p>
    <w:p>
      <w:pPr>
        <w:pStyle w:val="Heading2"/>
      </w:pPr>
      <w:r>
        <w:t>1. Purpose</w:t>
      </w:r>
    </w:p>
    <w:p>
      <w:r>
        <w:t>Defines accounting years and periods for each company. Every accounting transaction, invoice, bill and rental posting belongs to a fiscal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FiscalYearId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Company.CompanyId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FiscalYearCode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FiscalYearName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e.g. FY2026</w:t>
            </w:r>
          </w:p>
        </w:tc>
      </w:tr>
      <w:tr>
        <w:tc>
          <w:tcPr>
            <w:tcW w:type="dxa" w:w="1234"/>
          </w:tcPr>
          <w:p>
            <w:r>
              <w:t>StartDate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Start Date</w:t>
            </w:r>
          </w:p>
        </w:tc>
      </w:tr>
      <w:tr>
        <w:tc>
          <w:tcPr>
            <w:tcW w:type="dxa" w:w="1234"/>
          </w:tcPr>
          <w:p>
            <w:r>
              <w:t>EndDate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End Date</w:t>
            </w:r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0=Draft,1=Open,2=Closed,3=Archived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Default Fiscal Year</w:t>
            </w:r>
          </w:p>
        </w:tc>
      </w:tr>
      <w:tr>
        <w:tc>
          <w:tcPr>
            <w:tcW w:type="dxa" w:w="1234"/>
          </w:tcPr>
          <w:p>
            <w:r>
              <w:t>AllowBackDatedEntries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Allow historical postings</w:t>
            </w:r>
          </w:p>
        </w:tc>
      </w:tr>
      <w:tr>
        <w:tc>
          <w:tcPr>
            <w:tcW w:type="dxa" w:w="1234"/>
          </w:tcPr>
          <w:p>
            <w:r>
              <w:t>ClosingDate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Close Date</w:t>
            </w:r>
          </w:p>
        </w:tc>
      </w:tr>
      <w:tr>
        <w:tc>
          <w:tcPr>
            <w:tcW w:type="dxa" w:w="1234"/>
          </w:tcPr>
          <w:p>
            <w:r>
              <w:t>ClosedBy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Closed User</w:t>
            </w:r>
          </w:p>
        </w:tc>
      </w:tr>
      <w:tr>
        <w:tc>
          <w:tcPr>
            <w:tcW w:type="dxa" w:w="1234"/>
          </w:tcPr>
          <w:p>
            <w:r>
              <w:t>ClosedDate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Closed Timestamp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PK_FiscalYear</w:t>
      </w:r>
    </w:p>
    <w:p>
      <w:pPr>
        <w:pStyle w:val="ListBullet"/>
      </w:pPr>
      <w:r>
        <w:t>FK_FiscalYear_Company</w:t>
      </w:r>
    </w:p>
    <w:p>
      <w:pPr>
        <w:pStyle w:val="ListBullet"/>
      </w:pPr>
      <w:r>
        <w:t>FK_FiscalYear_ClosedBy</w:t>
      </w:r>
    </w:p>
    <w:p>
      <w:pPr>
        <w:pStyle w:val="ListBullet"/>
      </w:pPr>
      <w:r>
        <w:t>UQ_FiscalYear (CompanyId, FiscalYearCode)</w:t>
      </w:r>
    </w:p>
    <w:p>
      <w:pPr>
        <w:pStyle w:val="ListBullet"/>
      </w:pPr>
      <w:r>
        <w:t>CHECK (StartDate &lt; EndDate)</w:t>
      </w:r>
    </w:p>
    <w:p>
      <w:pPr>
        <w:pStyle w:val="ListBullet"/>
      </w:pPr>
      <w:r>
        <w:t>Only one IsDefault=1 per Company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FiscalYearId</w:t>
      </w:r>
    </w:p>
    <w:p>
      <w:pPr>
        <w:pStyle w:val="ListBullet"/>
      </w:pPr>
      <w:r>
        <w:t>Unique (CompanyId, FiscalYearCode)</w:t>
      </w:r>
    </w:p>
    <w:p>
      <w:pPr>
        <w:pStyle w:val="ListBullet"/>
      </w:pPr>
      <w:r>
        <w:t>Composite (CompanyId, Status)</w:t>
      </w:r>
    </w:p>
    <w:p>
      <w:pPr>
        <w:pStyle w:val="ListBullet"/>
      </w:pPr>
      <w:r>
        <w:t>Composite (CompanyId, StartDate, EndDate)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Company 1:N FiscalYear</w:t>
      </w:r>
    </w:p>
    <w:p>
      <w:pPr>
        <w:pStyle w:val="ListBullet"/>
      </w:pPr>
      <w:r>
        <w:t>FiscalYear 1:N JournalEntry (Volume 7)</w:t>
      </w:r>
    </w:p>
    <w:p>
      <w:pPr>
        <w:pStyle w:val="ListBullet"/>
      </w:pPr>
      <w:r>
        <w:t>FiscalYear 1:N Invoice (Volume 6)</w:t>
      </w:r>
    </w:p>
    <w:p>
      <w:pPr>
        <w:pStyle w:val="ListBullet"/>
      </w:pPr>
      <w:r>
        <w:t>FiscalYear 1:N VendorBill (Volume 2)</w:t>
      </w:r>
    </w:p>
    <w:p>
      <w:pPr>
        <w:pStyle w:val="ListBullet"/>
      </w:pPr>
      <w:r>
        <w:t>FiscalYear 1:N RentalBilling (Volume 4)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Every company must have one active default fiscal year.</w:t>
      </w:r>
    </w:p>
    <w:p>
      <w:pPr>
        <w:pStyle w:val="ListBullet"/>
      </w:pPr>
      <w:r>
        <w:t>No overlapping fiscal years for the same company.</w:t>
      </w:r>
    </w:p>
    <w:p>
      <w:pPr>
        <w:pStyle w:val="ListBullet"/>
      </w:pPr>
      <w:r>
        <w:t>Closed fiscal years cannot accept new transactions unless AllowBackDatedEntries=True.</w:t>
      </w:r>
    </w:p>
    <w:p>
      <w:pPr>
        <w:pStyle w:val="ListBullet"/>
      </w:pPr>
      <w:r>
        <w:t>Closing a fiscal year requires all accounting periods to be closed (future module).</w:t>
      </w:r>
    </w:p>
    <w:p>
      <w:pPr>
        <w:pStyle w:val="ListBullet"/>
      </w:pPr>
      <w:r>
        <w:t>Fiscal year cannot be deleted after accounting transactions exist.</w:t>
      </w:r>
    </w:p>
    <w:p>
      <w:pPr>
        <w:pStyle w:val="Heading2"/>
      </w:pPr>
      <w:r>
        <w:t>6. Accounting Impact</w:t>
      </w:r>
    </w:p>
    <w:p>
      <w:r>
        <w:t>Critical accounting master. All journal entries, invoices, bills, payments and reports must reference a FiscalYear. No journal entry is created by this table itself.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/api/fiscal-years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/api/fiscal-years/{id}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/api/fiscal-years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/api/fiscal-years/{id}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/api/fiscal-years/{id}/close</w:t>
            </w:r>
          </w:p>
        </w:tc>
        <w:tc>
          <w:tcPr>
            <w:tcW w:type="dxa" w:w="2880"/>
          </w:tcPr>
          <w:p>
            <w:r>
              <w:t>Close Fiscal Year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Fiscal Year List</w:t>
      </w:r>
    </w:p>
    <w:p>
      <w:pPr>
        <w:pStyle w:val="ListBullet"/>
      </w:pPr>
      <w:r>
        <w:t>Fiscal Year Detail</w:t>
      </w:r>
    </w:p>
    <w:p>
      <w:pPr>
        <w:pStyle w:val="ListBullet"/>
      </w:pPr>
      <w:r>
        <w:t>Create/Edit Fiscal Year</w:t>
      </w:r>
    </w:p>
    <w:p>
      <w:pPr>
        <w:pStyle w:val="ListBullet"/>
      </w:pPr>
      <w:r>
        <w:t>Fiscal Year Closing Wizard</w:t>
      </w:r>
    </w:p>
    <w:p>
      <w:pPr>
        <w:pStyle w:val="Heading2"/>
      </w:pPr>
      <w:r>
        <w:t>9. SQL Notes</w:t>
      </w:r>
    </w:p>
    <w:p>
      <w:r>
        <w:t>FiscalYear should not contain accounting periods. Periods (monthly/quarterly) will be implemented in the Accounting module as a separate AccountingPeriod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