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VendorDomain_009_VendorAddress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VendorAddress</w:t>
        <w:br/>
        <w:t>Purpose: Bridge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VendorAddress links Vendor with the reusable Shared Kernel Address entity. A vendor may have multiple addresses such as Billing, Shipping, Head Office and Warehouse while Address remains business-agnostic.</w:t>
      </w:r>
    </w:p>
    <w:p>
      <w:pPr>
        <w:pStyle w:val="Heading2"/>
      </w:pPr>
      <w:r>
        <w:t>3. Dependencies</w:t>
      </w:r>
    </w:p>
    <w:p>
      <w:r>
        <w:t>Depends On</w:t>
        <w:br/>
        <w:t>- Vendor</w:t>
        <w:br/>
        <w:t>- Address</w:t>
        <w:br/>
        <w:br/>
        <w:t>Referenced By</w:t>
        <w:br/>
        <w:t>- None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VendorAddressId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VendorId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Vendor</w:t>
            </w:r>
          </w:p>
        </w:tc>
      </w:tr>
      <w:tr>
        <w:tc>
          <w:tcPr>
            <w:tcW w:type="dxa" w:w="1234"/>
          </w:tcPr>
          <w:p>
            <w:r>
              <w:t>AddressId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Shared Address</w:t>
            </w:r>
          </w:p>
        </w:tc>
      </w:tr>
      <w:tr>
        <w:tc>
          <w:tcPr>
            <w:tcW w:type="dxa" w:w="1234"/>
          </w:tcPr>
          <w:p>
            <w:r>
              <w:t>AddressType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Billing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Billing, Shipping, Office, etc.</w:t>
            </w:r>
          </w:p>
        </w:tc>
      </w:tr>
      <w:tr>
        <w:tc>
          <w:tcPr>
            <w:tcW w:type="dxa" w:w="1234"/>
          </w:tcPr>
          <w:p>
            <w:r>
              <w:t>IsPrimary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address flag</w:t>
            </w:r>
          </w:p>
        </w:tc>
      </w:tr>
      <w:tr>
        <w:tc>
          <w:tcPr>
            <w:tcW w:type="dxa" w:w="1234"/>
          </w:tcPr>
          <w:p>
            <w:r>
              <w:t>IsDefaultBilling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Default billing address</w:t>
            </w:r>
          </w:p>
        </w:tc>
      </w:tr>
      <w:tr>
        <w:tc>
          <w:tcPr>
            <w:tcW w:type="dxa" w:w="1234"/>
          </w:tcPr>
          <w:p>
            <w:r>
              <w:t>IsDefaultShipping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Default shipping address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date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date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date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PK_VendorAddress</w:t>
        <w:br/>
        <w:br/>
        <w:t>Foreign Keys</w:t>
        <w:br/>
        <w:t>- VendorId -&gt; Vendor</w:t>
        <w:br/>
        <w:t>- AddressId -&gt; Address</w:t>
        <w:br/>
        <w:br/>
        <w:t>Unique Keys</w:t>
        <w:br/>
        <w:t>- UQ_VendorAddress_VendorId_AddressId</w:t>
        <w:br/>
        <w:br/>
        <w:t>Check Constraints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PK_VendorAddress</w:t>
        <w:br/>
        <w:br/>
        <w:t>Non-Clustered</w:t>
        <w:br/>
        <w:t>- IX_VendorAddress_Vendor</w:t>
        <w:br/>
        <w:t>- IX_VendorAddress_Address</w:t>
        <w:br/>
        <w:t>- IX_VendorAddress_Defaults (VendorId, IsDefaultBilling, IsDefaultShipping)</w:t>
        <w:br/>
        <w:t>- IX_VendorAddress_Status (StatusId, IsDeleted)</w:t>
      </w:r>
    </w:p>
    <w:p>
      <w:pPr>
        <w:pStyle w:val="Heading2"/>
      </w:pPr>
      <w:r>
        <w:t>7. Relationships</w:t>
      </w:r>
    </w:p>
    <w:p>
      <w:r>
        <w:t>Vendor (1) -&gt; VendorAddress (Many)</w:t>
        <w:br/>
        <w:t>Address (1) -&gt; VendorAddress (Many)</w:t>
        <w:br/>
        <w:br/>
        <w:t>Implements the association between Vendor and Shared Kernel Address.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Each record links one Vendor to one Address.</w:t>
      </w:r>
    </w:p>
    <w:p>
      <w:pPr>
        <w:pStyle w:val="ListBullet"/>
      </w:pPr>
      <w:r>
        <w:t>Only one default billing address per vendor.</w:t>
      </w:r>
    </w:p>
    <w:p>
      <w:pPr>
        <w:pStyle w:val="ListBullet"/>
      </w:pPr>
      <w:r>
        <w:t>Only one default shipping address per vendor.</w:t>
      </w:r>
    </w:p>
    <w:p>
      <w:pPr>
        <w:pStyle w:val="ListBullet"/>
      </w:pPr>
      <w:r>
        <w:t>Address records are stored only in Shared Kernel Address.</w:t>
      </w:r>
    </w:p>
    <w:p>
      <w:pPr>
        <w:pStyle w:val="ListBullet"/>
      </w:pPr>
      <w:r>
        <w:t>Soft delete must always be used.</w:t>
      </w:r>
    </w:p>
    <w:p>
      <w:pPr>
        <w:pStyle w:val="ListBullet"/>
      </w:pPr>
      <w:r>
        <w:t>Audit fields are mandatory.</w:t>
      </w:r>
    </w:p>
    <w:p>
      <w:pPr>
        <w:pStyle w:val="ListBullet"/>
      </w:pPr>
      <w:r>
        <w:t>RowVersion is required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VendorAddressAdded</w:t>
      </w:r>
    </w:p>
    <w:p>
      <w:pPr>
        <w:pStyle w:val="ListBullet"/>
      </w:pPr>
      <w:r>
        <w:t>VendorAddressUpdated</w:t>
      </w:r>
    </w:p>
    <w:p>
      <w:pPr>
        <w:pStyle w:val="ListBullet"/>
      </w:pPr>
      <w:r>
        <w:t>VendorAddressRemoved</w:t>
      </w:r>
    </w:p>
    <w:p>
      <w:pPr>
        <w:pStyle w:val="ListBullet"/>
      </w:pPr>
      <w:r>
        <w:t>VendorDefaultBillingAddressChanged</w:t>
      </w:r>
    </w:p>
    <w:p>
      <w:pPr>
        <w:pStyle w:val="ListBullet"/>
      </w:pPr>
      <w:r>
        <w:t>VendorDefaultShippingAddressChanged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Bridge table only; address details remain in Shared Kernel Address.</w:t>
      </w:r>
    </w:p>
    <w:p>
      <w:pPr>
        <w:pStyle w:val="ListBullet"/>
      </w:pPr>
      <w:r>
        <w:t>Supports unlimited addresses per vendor.</w:t>
      </w:r>
    </w:p>
    <w:p>
      <w:pPr>
        <w:pStyle w:val="ListBullet"/>
      </w:pPr>
      <w:r>
        <w:t>Prevent multiple active default billing/shipping addresses.</w:t>
      </w:r>
    </w:p>
    <w:p>
      <w:pPr>
        <w:pStyle w:val="ListBullet"/>
      </w:pPr>
      <w:r>
        <w:t>Fully compliant with RentalERP global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