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04</w:t>
      </w:r>
    </w:p>
    <w:p>
      <w:pPr>
        <w:pStyle w:val="Heading1"/>
      </w:pPr>
      <w:r>
        <w:t>CURRENCY</w:t>
      </w:r>
    </w:p>
    <w:p>
      <w:pPr>
        <w:pStyle w:val="Heading2"/>
      </w:pPr>
      <w:r>
        <w:t>1. Purpose</w:t>
      </w:r>
    </w:p>
    <w:p>
      <w:r>
        <w:t>Stores all currencies supported by the ERP. Used throughout Sales, Purchasing, Accounting, Banking, Rental and Reporting.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CurrencyId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CurrencyCode</w:t>
            </w:r>
          </w:p>
        </w:tc>
        <w:tc>
          <w:tcPr>
            <w:tcW w:type="dxa" w:w="1234"/>
          </w:tcPr>
          <w:p>
            <w:r>
              <w:t>CHAR(3)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ISO-4217 (USD, PKR)</w:t>
            </w:r>
          </w:p>
        </w:tc>
      </w:tr>
      <w:tr>
        <w:tc>
          <w:tcPr>
            <w:tcW w:type="dxa" w:w="1234"/>
          </w:tcPr>
          <w:p>
            <w:r>
              <w:t>CurrencyName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Currency Name</w:t>
            </w:r>
          </w:p>
        </w:tc>
      </w:tr>
      <w:tr>
        <w:tc>
          <w:tcPr>
            <w:tcW w:type="dxa" w:w="1234"/>
          </w:tcPr>
          <w:p>
            <w:r>
              <w:t>Symbol</w:t>
            </w:r>
          </w:p>
        </w:tc>
        <w:tc>
          <w:tcPr>
            <w:tcW w:type="dxa" w:w="1234"/>
          </w:tcPr>
          <w:p>
            <w:r>
              <w:t>NVARCHAR(10)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₹,$,Rs</w:t>
            </w:r>
          </w:p>
        </w:tc>
      </w:tr>
      <w:tr>
        <w:tc>
          <w:tcPr>
            <w:tcW w:type="dxa" w:w="1234"/>
          </w:tcPr>
          <w:p>
            <w:r>
              <w:t>CountryId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Country.CountryId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Country</w:t>
            </w:r>
          </w:p>
        </w:tc>
      </w:tr>
      <w:tr>
        <w:tc>
          <w:tcPr>
            <w:tcW w:type="dxa" w:w="1234"/>
          </w:tcPr>
          <w:p>
            <w:r>
              <w:t>DecimalPlaces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</w:tr>
      <w:tr>
        <w:tc>
          <w:tcPr>
            <w:tcW w:type="dxa" w:w="1234"/>
          </w:tcPr>
          <w:p>
            <w:r>
              <w:t>RoundingMethod</w:t>
            </w:r>
          </w:p>
        </w:tc>
        <w:tc>
          <w:tcPr>
            <w:tcW w:type="dxa" w:w="1234"/>
          </w:tcPr>
          <w:p>
            <w:r>
              <w:t>TINYINT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0=Normal,1=Up,2=Down</w:t>
            </w:r>
          </w:p>
        </w:tc>
      </w:tr>
      <w:tr>
        <w:tc>
          <w:tcPr>
            <w:tcW w:type="dxa" w:w="1234"/>
          </w:tcPr>
          <w:p>
            <w:r>
              <w:t>IsBaseCurrency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Base Currency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Sorting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PK_Currency</w:t>
      </w:r>
    </w:p>
    <w:p>
      <w:pPr>
        <w:pStyle w:val="ListBullet"/>
      </w:pPr>
      <w:r>
        <w:t>UQ_Currency_CurrencyCode</w:t>
      </w:r>
    </w:p>
    <w:p>
      <w:pPr>
        <w:pStyle w:val="ListBullet"/>
      </w:pPr>
      <w:r>
        <w:t>FK_Currency_Country</w:t>
      </w:r>
    </w:p>
    <w:p>
      <w:pPr>
        <w:pStyle w:val="ListBullet"/>
      </w:pPr>
      <w:r>
        <w:t>Only one IsBaseCurrency = 1 (system-wide or per company via Company table)</w:t>
      </w:r>
    </w:p>
    <w:p>
      <w:pPr>
        <w:pStyle w:val="ListBullet"/>
      </w:pPr>
      <w:r>
        <w:t>CHECK DecimalPlaces BETWEEN 0 AND 6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CurrencyId</w:t>
      </w:r>
    </w:p>
    <w:p>
      <w:pPr>
        <w:pStyle w:val="ListBullet"/>
      </w:pPr>
      <w:r>
        <w:t>Unique CurrencyCode</w:t>
      </w:r>
    </w:p>
    <w:p>
      <w:pPr>
        <w:pStyle w:val="ListBullet"/>
      </w:pPr>
      <w:r>
        <w:t>Nonclustered CurrencyName</w:t>
      </w:r>
    </w:p>
    <w:p>
      <w:pPr>
        <w:pStyle w:val="ListBullet"/>
      </w:pPr>
      <w:r>
        <w:t>Composite (IsActive, DisplayOrder)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Currency 1:N Company</w:t>
      </w:r>
    </w:p>
    <w:p>
      <w:pPr>
        <w:pStyle w:val="ListBullet"/>
      </w:pPr>
      <w:r>
        <w:t>Currency 1:N ExchangeRate</w:t>
      </w:r>
    </w:p>
    <w:p>
      <w:pPr>
        <w:pStyle w:val="ListBullet"/>
      </w:pPr>
      <w:r>
        <w:t>Currency 1:N Customer</w:t>
      </w:r>
    </w:p>
    <w:p>
      <w:pPr>
        <w:pStyle w:val="ListBullet"/>
      </w:pPr>
      <w:r>
        <w:t>Currency 1:N Vendor</w:t>
      </w:r>
    </w:p>
    <w:p>
      <w:pPr>
        <w:pStyle w:val="ListBullet"/>
      </w:pPr>
      <w:r>
        <w:t>Currency 1:N Invoice</w:t>
      </w:r>
    </w:p>
    <w:p>
      <w:pPr>
        <w:pStyle w:val="ListBullet"/>
      </w:pPr>
      <w:r>
        <w:t>Currency 1:N VendorBill</w:t>
      </w:r>
    </w:p>
    <w:p>
      <w:pPr>
        <w:pStyle w:val="ListBullet"/>
      </w:pPr>
      <w:r>
        <w:t>Currency 1:N BankAccount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CurrencyCode must follow ISO-4217.</w:t>
      </w:r>
    </w:p>
    <w:p>
      <w:pPr>
        <w:pStyle w:val="ListBullet"/>
      </w:pPr>
      <w:r>
        <w:t>Base currency cannot be deleted.</w:t>
      </w:r>
    </w:p>
    <w:p>
      <w:pPr>
        <w:pStyle w:val="ListBullet"/>
      </w:pPr>
      <w:r>
        <w:t>Inactive currencies cannot be used in new transactions.</w:t>
      </w:r>
    </w:p>
    <w:p>
      <w:pPr>
        <w:pStyle w:val="ListBullet"/>
      </w:pPr>
      <w:r>
        <w:t>Historical transactions retain original currency.</w:t>
      </w:r>
    </w:p>
    <w:p>
      <w:pPr>
        <w:pStyle w:val="Heading2"/>
      </w:pPr>
      <w:r>
        <w:t>6. Accounting Impact</w:t>
      </w:r>
    </w:p>
    <w:p>
      <w:r>
        <w:t>No journal entries. Used for valuation, foreign currency transactions and exchange gains/losses.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/api/currencies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/api/currencies/{id}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/api/currencies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/api/currencies/{id}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/api/currencies/{id}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Currency List</w:t>
      </w:r>
    </w:p>
    <w:p>
      <w:pPr>
        <w:pStyle w:val="ListBullet"/>
      </w:pPr>
      <w:r>
        <w:t>Currency Detail</w:t>
      </w:r>
    </w:p>
    <w:p>
      <w:pPr>
        <w:pStyle w:val="ListBullet"/>
      </w:pPr>
      <w:r>
        <w:t>Create/Edit Currency</w:t>
      </w:r>
    </w:p>
    <w:p>
      <w:pPr>
        <w:pStyle w:val="Heading2"/>
      </w:pPr>
      <w:r>
        <w:t>9. SQL Notes</w:t>
      </w:r>
    </w:p>
    <w:p>
      <w:r>
        <w:t>Exchange rates are intentionally separated into an ExchangeRate table to preserve history and support daily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