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Database Design</w:t>
      </w:r>
    </w:p>
    <w:p>
      <w:pPr>
        <w:pStyle w:val="Heading1"/>
      </w:pPr>
      <w:r>
        <w:t>Foundation Module - Table 05</w:t>
      </w:r>
    </w:p>
    <w:p>
      <w:pPr>
        <w:pStyle w:val="Heading1"/>
      </w:pPr>
      <w:r>
        <w:t>EXCHANGE RATE</w:t>
      </w:r>
    </w:p>
    <w:p>
      <w:pPr>
        <w:pStyle w:val="Heading2"/>
      </w:pPr>
      <w:r>
        <w:t>1. Purpose</w:t>
      </w:r>
    </w:p>
    <w:p>
      <w:r>
        <w:t>Stores historical exchange rates. Transactions store the applied rate at posting time, while this table provides the reference rates used for conversions.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ExchangeRateId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Company.CompanyId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FromCurrencyId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Currency.CurrencyId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Source Currency</w:t>
            </w:r>
          </w:p>
        </w:tc>
      </w:tr>
      <w:tr>
        <w:tc>
          <w:tcPr>
            <w:tcW w:type="dxa" w:w="1234"/>
          </w:tcPr>
          <w:p>
            <w:r>
              <w:t>ToCurrencyId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Currency.CurrencyId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Target/Base Currency</w:t>
            </w:r>
          </w:p>
        </w:tc>
      </w:tr>
      <w:tr>
        <w:tc>
          <w:tcPr>
            <w:tcW w:type="dxa" w:w="1234"/>
          </w:tcPr>
          <w:p>
            <w:r>
              <w:t>RateDate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Effective Date</w:t>
            </w:r>
          </w:p>
        </w:tc>
      </w:tr>
      <w:tr>
        <w:tc>
          <w:tcPr>
            <w:tcW w:type="dxa" w:w="1234"/>
          </w:tcPr>
          <w:p>
            <w:r>
              <w:t>ExchangeRate</w:t>
            </w:r>
          </w:p>
        </w:tc>
        <w:tc>
          <w:tcPr>
            <w:tcW w:type="dxa" w:w="1234"/>
          </w:tcPr>
          <w:p>
            <w:r>
              <w:t>DECIMAL(18,8)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Standard Rate</w:t>
            </w:r>
          </w:p>
        </w:tc>
      </w:tr>
      <w:tr>
        <w:tc>
          <w:tcPr>
            <w:tcW w:type="dxa" w:w="1234"/>
          </w:tcPr>
          <w:p>
            <w:r>
              <w:t>BuyingRate</w:t>
            </w:r>
          </w:p>
        </w:tc>
        <w:tc>
          <w:tcPr>
            <w:tcW w:type="dxa" w:w="1234"/>
          </w:tcPr>
          <w:p>
            <w:r>
              <w:t>DECIMAL(18,8)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Optional Bank Buying Rate</w:t>
            </w:r>
          </w:p>
        </w:tc>
      </w:tr>
      <w:tr>
        <w:tc>
          <w:tcPr>
            <w:tcW w:type="dxa" w:w="1234"/>
          </w:tcPr>
          <w:p>
            <w:r>
              <w:t>SellingRate</w:t>
            </w:r>
          </w:p>
        </w:tc>
        <w:tc>
          <w:tcPr>
            <w:tcW w:type="dxa" w:w="1234"/>
          </w:tcPr>
          <w:p>
            <w:r>
              <w:t>DECIMAL(18,8)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Optional Bank Selling Rate</w:t>
            </w:r>
          </w:p>
        </w:tc>
      </w:tr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Manual/API/Bank</w:t>
            </w:r>
          </w:p>
        </w:tc>
      </w:tr>
      <w:tr>
        <w:tc>
          <w:tcPr>
            <w:tcW w:type="dxa" w:w="1234"/>
          </w:tcPr>
          <w:p>
            <w:r>
              <w:t>Remarks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2. Constraints</w:t>
      </w:r>
    </w:p>
    <w:p>
      <w:pPr>
        <w:pStyle w:val="ListBullet"/>
      </w:pPr>
      <w:r>
        <w:t>PK_ExchangeRate</w:t>
      </w:r>
    </w:p>
    <w:p>
      <w:pPr>
        <w:pStyle w:val="ListBullet"/>
      </w:pPr>
      <w:r>
        <w:t>FK_ExchangeRate_Company</w:t>
      </w:r>
    </w:p>
    <w:p>
      <w:pPr>
        <w:pStyle w:val="ListBullet"/>
      </w:pPr>
      <w:r>
        <w:t>FK_ExchangeRate_FromCurrency</w:t>
      </w:r>
    </w:p>
    <w:p>
      <w:pPr>
        <w:pStyle w:val="ListBullet"/>
      </w:pPr>
      <w:r>
        <w:t>FK_ExchangeRate_ToCurrency</w:t>
      </w:r>
    </w:p>
    <w:p>
      <w:pPr>
        <w:pStyle w:val="ListBullet"/>
      </w:pPr>
      <w:r>
        <w:t>UQ_ExchangeRate (CompanyId, FromCurrencyId, ToCurrencyId, RateDate)</w:t>
      </w:r>
    </w:p>
    <w:p>
      <w:pPr>
        <w:pStyle w:val="ListBullet"/>
      </w:pPr>
      <w:r>
        <w:t>CHECK (ExchangeRate &gt; 0)</w:t>
      </w:r>
    </w:p>
    <w:p>
      <w:pPr>
        <w:pStyle w:val="ListBullet"/>
      </w:pPr>
      <w:r>
        <w:t>CHECK (FromCurrencyId &lt;&gt; ToCurrencyId)</w:t>
      </w:r>
    </w:p>
    <w:p>
      <w:pPr>
        <w:pStyle w:val="Heading2"/>
      </w:pPr>
      <w:r>
        <w:t>3. Indexes</w:t>
      </w:r>
    </w:p>
    <w:p>
      <w:pPr>
        <w:pStyle w:val="ListBullet"/>
      </w:pPr>
      <w:r>
        <w:t>Clustered PK on ExchangeRateId</w:t>
      </w:r>
    </w:p>
    <w:p>
      <w:pPr>
        <w:pStyle w:val="ListBullet"/>
      </w:pPr>
      <w:r>
        <w:t>Unique composite (CompanyId, FromCurrencyId, ToCurrencyId, RateDate)</w:t>
      </w:r>
    </w:p>
    <w:p>
      <w:pPr>
        <w:pStyle w:val="ListBullet"/>
      </w:pPr>
      <w:r>
        <w:t>Composite (RateDate, FromCurrencyId, ToCurrencyId)</w:t>
      </w:r>
    </w:p>
    <w:p>
      <w:pPr>
        <w:pStyle w:val="ListBullet"/>
      </w:pPr>
      <w:r>
        <w:t>Nonclustered (IsActive)</w:t>
      </w:r>
    </w:p>
    <w:p>
      <w:pPr>
        <w:pStyle w:val="Heading2"/>
      </w:pPr>
      <w:r>
        <w:t>4. Relationships</w:t>
      </w:r>
    </w:p>
    <w:p>
      <w:pPr>
        <w:pStyle w:val="ListBullet"/>
      </w:pPr>
      <w:r>
        <w:t>Company 1:N ExchangeRate</w:t>
      </w:r>
    </w:p>
    <w:p>
      <w:pPr>
        <w:pStyle w:val="ListBullet"/>
      </w:pPr>
      <w:r>
        <w:t>Currency 1:N ExchangeRate (FromCurrency)</w:t>
      </w:r>
    </w:p>
    <w:p>
      <w:pPr>
        <w:pStyle w:val="ListBullet"/>
      </w:pPr>
      <w:r>
        <w:t>Currency 1:N ExchangeRate (ToCurrency)</w:t>
      </w:r>
    </w:p>
    <w:p>
      <w:pPr>
        <w:pStyle w:val="ListBullet"/>
      </w:pPr>
      <w:r>
        <w:t>Invoice references ExchangeRate (stored value only)</w:t>
      </w:r>
    </w:p>
    <w:p>
      <w:pPr>
        <w:pStyle w:val="ListBullet"/>
      </w:pPr>
      <w:r>
        <w:t>VendorBill references ExchangeRate (stored value only)</w:t>
      </w:r>
    </w:p>
    <w:p>
      <w:pPr>
        <w:pStyle w:val="ListBullet"/>
      </w:pPr>
      <w:r>
        <w:t>JournalEntry stores applied exchange rate</w:t>
      </w:r>
    </w:p>
    <w:p>
      <w:pPr>
        <w:pStyle w:val="Heading2"/>
      </w:pPr>
      <w:r>
        <w:t>5. Business Rules</w:t>
      </w:r>
    </w:p>
    <w:p>
      <w:pPr>
        <w:pStyle w:val="ListBullet"/>
      </w:pPr>
      <w:r>
        <w:t>Only one rate per currency pair per company per date.</w:t>
      </w:r>
    </w:p>
    <w:p>
      <w:pPr>
        <w:pStyle w:val="ListBullet"/>
      </w:pPr>
      <w:r>
        <w:t>Historical rates must never be updated after financial posting; insert a new rate instead.</w:t>
      </w:r>
    </w:p>
    <w:p>
      <w:pPr>
        <w:pStyle w:val="ListBullet"/>
      </w:pPr>
      <w:r>
        <w:t>Transactions copy the exchange rate at posting time to preserve auditability.</w:t>
      </w:r>
    </w:p>
    <w:p>
      <w:pPr>
        <w:pStyle w:val="ListBullet"/>
      </w:pPr>
      <w:r>
        <w:t>Base currency to base currency rate is always 1.00000000.</w:t>
      </w:r>
    </w:p>
    <w:p>
      <w:pPr>
        <w:pStyle w:val="Heading2"/>
      </w:pPr>
      <w:r>
        <w:t>6. Accounting Impact</w:t>
      </w:r>
    </w:p>
    <w:p>
      <w:r>
        <w:t>Used by Accounts Receivable, Accounts Payable and General Ledger for foreign currency postings. No journal entries are created by this table directly.</w:t>
      </w:r>
    </w:p>
    <w:p>
      <w:pPr>
        <w:pStyle w:val="Heading2"/>
      </w:pPr>
      <w:r>
        <w:t>7.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/api/exchange-rates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/api/exchange-rates/latest</w:t>
            </w:r>
          </w:p>
        </w:tc>
        <w:tc>
          <w:tcPr>
            <w:tcW w:type="dxa" w:w="2880"/>
          </w:tcPr>
          <w:p>
            <w:r>
              <w:t>Latest rates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/api/exchange-rates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/api/exchange-rates/{id}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/api/exchange-rates/{id}</w:t>
            </w:r>
          </w:p>
        </w:tc>
        <w:tc>
          <w:tcPr>
            <w:tcW w:type="dxa" w:w="2880"/>
          </w:tcPr>
          <w:p>
            <w:r>
              <w:t>Deactivate</w:t>
            </w:r>
          </w:p>
        </w:tc>
      </w:tr>
    </w:tbl>
    <w:p>
      <w:pPr>
        <w:pStyle w:val="Heading2"/>
      </w:pPr>
      <w:r>
        <w:t>8. Angular Screens</w:t>
      </w:r>
    </w:p>
    <w:p>
      <w:pPr>
        <w:pStyle w:val="ListBullet"/>
      </w:pPr>
      <w:r>
        <w:t>Exchange Rate List</w:t>
      </w:r>
    </w:p>
    <w:p>
      <w:pPr>
        <w:pStyle w:val="ListBullet"/>
      </w:pPr>
      <w:r>
        <w:t>Exchange Rate Maintenance</w:t>
      </w:r>
    </w:p>
    <w:p>
      <w:pPr>
        <w:pStyle w:val="ListBullet"/>
      </w:pPr>
      <w:r>
        <w:t>Import Rates</w:t>
      </w:r>
    </w:p>
    <w:p>
      <w:pPr>
        <w:pStyle w:val="ListBullet"/>
      </w:pPr>
      <w:r>
        <w:t>Exchange Rate History</w:t>
      </w:r>
    </w:p>
    <w:p>
      <w:pPr>
        <w:pStyle w:val="Heading2"/>
      </w:pPr>
      <w:r>
        <w:t>9. SQL Notes</w:t>
      </w:r>
    </w:p>
    <w:p>
      <w:r>
        <w:t>Do not calculate exchange rates dynamically during reporting. Persist the applied rate on every financial transaction for historical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