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RentalERP v1.0</w:t>
      </w:r>
    </w:p>
    <w:p>
      <w:pPr>
        <w:pStyle w:val="Heading1"/>
      </w:pPr>
      <w:r>
        <w:t>Shared Kernel - Table 007 - NumberSeries</w:t>
      </w:r>
    </w:p>
    <w:p>
      <w:pPr>
        <w:pStyle w:val="Heading2"/>
      </w:pPr>
      <w:r>
        <w:t>Table Classification</w:t>
      </w:r>
    </w:p>
    <w:p>
      <w:r>
        <w:t>Shared Kernel - Infrastructure Entity</w:t>
      </w:r>
    </w:p>
    <w:p>
      <w:pPr>
        <w:pStyle w:val="Heading2"/>
      </w:pPr>
      <w:r>
        <w:t>Purpose</w:t>
      </w:r>
    </w:p>
    <w:p>
      <w:r>
        <w:t>Maintains configurable document numbering sequences for all ERP modules with support for prefixes, suffixes, fiscal years, branches and companies.</w:t>
      </w:r>
    </w:p>
    <w:p>
      <w:pPr>
        <w:pStyle w:val="Heading2"/>
      </w:pPr>
      <w:r>
        <w:t>Referenced By</w:t>
      </w:r>
    </w:p>
    <w:p>
      <w:pPr>
        <w:pStyle w:val="ListBullet"/>
      </w:pPr>
      <w:r>
        <w:t>Customer</w:t>
      </w:r>
    </w:p>
    <w:p>
      <w:pPr>
        <w:pStyle w:val="ListBullet"/>
      </w:pPr>
      <w:r>
        <w:t>Vendor</w:t>
      </w:r>
    </w:p>
    <w:p>
      <w:pPr>
        <w:pStyle w:val="ListBullet"/>
      </w:pPr>
      <w:r>
        <w:t>Sales</w:t>
      </w:r>
    </w:p>
    <w:p>
      <w:pPr>
        <w:pStyle w:val="ListBullet"/>
      </w:pPr>
      <w:r>
        <w:t>Purchase</w:t>
      </w:r>
    </w:p>
    <w:p>
      <w:pPr>
        <w:pStyle w:val="ListBullet"/>
      </w:pPr>
      <w:r>
        <w:t>Rental</w:t>
      </w:r>
    </w:p>
    <w:p>
      <w:pPr>
        <w:pStyle w:val="ListBullet"/>
      </w:pPr>
      <w:r>
        <w:t>Service</w:t>
      </w:r>
    </w:p>
    <w:p>
      <w:pPr>
        <w:pStyle w:val="ListBullet"/>
      </w:pPr>
      <w:r>
        <w:t>Inventory</w:t>
      </w:r>
    </w:p>
    <w:p>
      <w:pPr>
        <w:pStyle w:val="ListBullet"/>
      </w:pPr>
      <w:r>
        <w:t>Accounting</w:t>
      </w:r>
    </w:p>
    <w:p>
      <w:pPr>
        <w:pStyle w:val="ListBullet"/>
      </w:pPr>
      <w:r>
        <w:t>Asset</w:t>
      </w:r>
    </w:p>
    <w:p>
      <w:pPr>
        <w:pStyle w:val="Heading2"/>
      </w:pPr>
      <w:r>
        <w:t>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</w:t>
            </w:r>
          </w:p>
        </w:tc>
        <w:tc>
          <w:tcPr>
            <w:tcW w:type="dxa" w:w="1234"/>
          </w:tcPr>
          <w:p>
            <w:r>
              <w:t>Data Type</w:t>
            </w:r>
          </w:p>
        </w:tc>
        <w:tc>
          <w:tcPr>
            <w:tcW w:type="dxa" w:w="1234"/>
          </w:tcPr>
          <w:p>
            <w:r>
              <w:t>Nullable</w:t>
            </w:r>
          </w:p>
        </w:tc>
        <w:tc>
          <w:tcPr>
            <w:tcW w:type="dxa" w:w="1234"/>
          </w:tcPr>
          <w:p>
            <w:r>
              <w:t>Default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NumberSeriesId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CompanyId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Company</w:t>
            </w:r>
          </w:p>
        </w:tc>
        <w:tc>
          <w:tcPr>
            <w:tcW w:type="dxa" w:w="1234"/>
          </w:tcPr>
          <w:p>
            <w:r>
              <w:t>Owner Company</w:t>
            </w:r>
          </w:p>
        </w:tc>
      </w:tr>
      <w:tr>
        <w:tc>
          <w:tcPr>
            <w:tcW w:type="dxa" w:w="1234"/>
          </w:tcPr>
          <w:p>
            <w:r>
              <w:t>BranchId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Branch</w:t>
            </w:r>
          </w:p>
        </w:tc>
        <w:tc>
          <w:tcPr>
            <w:tcW w:type="dxa" w:w="1234"/>
          </w:tcPr>
          <w:p>
            <w:r>
              <w:t>Optional Branch</w:t>
            </w:r>
          </w:p>
        </w:tc>
      </w:tr>
      <w:tr>
        <w:tc>
          <w:tcPr>
            <w:tcW w:type="dxa" w:w="1234"/>
          </w:tcPr>
          <w:p>
            <w:r>
              <w:t>ModuleName</w:t>
            </w:r>
          </w:p>
        </w:tc>
        <w:tc>
          <w:tcPr>
            <w:tcW w:type="dxa" w:w="1234"/>
          </w:tcPr>
          <w:p>
            <w:r>
              <w:t>NVARCHAR(100)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Sales/Customer/etc.</w:t>
            </w:r>
          </w:p>
        </w:tc>
      </w:tr>
      <w:tr>
        <w:tc>
          <w:tcPr>
            <w:tcW w:type="dxa" w:w="1234"/>
          </w:tcPr>
          <w:p>
            <w:r>
              <w:t>DocumentType</w:t>
            </w:r>
          </w:p>
        </w:tc>
        <w:tc>
          <w:tcPr>
            <w:tcW w:type="dxa" w:w="1234"/>
          </w:tcPr>
          <w:p>
            <w:r>
              <w:t>NVARCHAR(100)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Invoice/Order/etc.</w:t>
            </w:r>
          </w:p>
        </w:tc>
      </w:tr>
      <w:tr>
        <w:tc>
          <w:tcPr>
            <w:tcW w:type="dxa" w:w="1234"/>
          </w:tcPr>
          <w:p>
            <w:r>
              <w:t>SeriesName</w:t>
            </w:r>
          </w:p>
        </w:tc>
        <w:tc>
          <w:tcPr>
            <w:tcW w:type="dxa" w:w="1234"/>
          </w:tcPr>
          <w:p>
            <w:r>
              <w:t>NVARCHAR(100)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Series Name</w:t>
            </w:r>
          </w:p>
        </w:tc>
      </w:tr>
      <w:tr>
        <w:tc>
          <w:tcPr>
            <w:tcW w:type="dxa" w:w="1234"/>
          </w:tcPr>
          <w:p>
            <w:r>
              <w:t>Prefix</w:t>
            </w:r>
          </w:p>
        </w:tc>
        <w:tc>
          <w:tcPr>
            <w:tcW w:type="dxa" w:w="1234"/>
          </w:tcPr>
          <w:p>
            <w:r>
              <w:t>NVARCHAR(20)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Prefix</w:t>
            </w:r>
          </w:p>
        </w:tc>
      </w:tr>
      <w:tr>
        <w:tc>
          <w:tcPr>
            <w:tcW w:type="dxa" w:w="1234"/>
          </w:tcPr>
          <w:p>
            <w:r>
              <w:t>Suffix</w:t>
            </w:r>
          </w:p>
        </w:tc>
        <w:tc>
          <w:tcPr>
            <w:tcW w:type="dxa" w:w="1234"/>
          </w:tcPr>
          <w:p>
            <w:r>
              <w:t>NVARCHAR(20)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Suffix</w:t>
            </w:r>
          </w:p>
        </w:tc>
      </w:tr>
      <w:tr>
        <w:tc>
          <w:tcPr>
            <w:tcW w:type="dxa" w:w="1234"/>
          </w:tcPr>
          <w:p>
            <w:r>
              <w:t>Separator</w:t>
            </w:r>
          </w:p>
        </w:tc>
        <w:tc>
          <w:tcPr>
            <w:tcW w:type="dxa" w:w="1234"/>
          </w:tcPr>
          <w:p>
            <w:r>
              <w:t>NVARCHAR(5)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Separator</w:t>
            </w:r>
          </w:p>
        </w:tc>
      </w:tr>
      <w:tr>
        <w:tc>
          <w:tcPr>
            <w:tcW w:type="dxa" w:w="1234"/>
          </w:tcPr>
          <w:p>
            <w:r>
              <w:t>NextNumber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Next Running Number</w:t>
            </w:r>
          </w:p>
        </w:tc>
      </w:tr>
      <w:tr>
        <w:tc>
          <w:tcPr>
            <w:tcW w:type="dxa" w:w="1234"/>
          </w:tcPr>
          <w:p>
            <w:r>
              <w:t>NumberLength</w:t>
            </w:r>
          </w:p>
        </w:tc>
        <w:tc>
          <w:tcPr>
            <w:tcW w:type="dxa" w:w="1234"/>
          </w:tcPr>
          <w:p>
            <w:r>
              <w:t>SMALLINT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Zero Padding</w:t>
            </w:r>
          </w:p>
        </w:tc>
      </w:tr>
      <w:tr>
        <w:tc>
          <w:tcPr>
            <w:tcW w:type="dxa" w:w="1234"/>
          </w:tcPr>
          <w:p>
            <w:r>
              <w:t>ResetPolicy</w:t>
            </w:r>
          </w:p>
        </w:tc>
        <w:tc>
          <w:tcPr>
            <w:tcW w:type="dxa" w:w="1234"/>
          </w:tcPr>
          <w:p>
            <w:r>
              <w:t>NVARCHAR(20)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Never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Never/Yearly/Monthly</w:t>
            </w:r>
          </w:p>
        </w:tc>
      </w:tr>
      <w:tr>
        <w:tc>
          <w:tcPr>
            <w:tcW w:type="dxa" w:w="1234"/>
          </w:tcPr>
          <w:p>
            <w:r>
              <w:t>FiscalYearId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FiscalYear</w:t>
            </w:r>
          </w:p>
        </w:tc>
        <w:tc>
          <w:tcPr>
            <w:tcW w:type="dxa" w:w="1234"/>
          </w:tcPr>
          <w:p>
            <w:r>
              <w:t>Fiscal Year</w:t>
            </w:r>
          </w:p>
        </w:tc>
      </w:tr>
      <w:tr>
        <w:tc>
          <w:tcPr>
            <w:tcW w:type="dxa" w:w="1234"/>
          </w:tcPr>
          <w:p>
            <w:r>
              <w:t>IsDefault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Default Series</w:t>
            </w:r>
          </w:p>
        </w:tc>
      </w:tr>
      <w:tr>
        <w:tc>
          <w:tcPr>
            <w:tcW w:type="dxa" w:w="1234"/>
          </w:tcPr>
          <w:p>
            <w:r>
              <w:t>IsActive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Active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SYSUTCDATETIME()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IsDeleted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Soft Delete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Concurrency</w:t>
            </w:r>
          </w:p>
        </w:tc>
      </w:tr>
    </w:tbl>
    <w:p>
      <w:pPr>
        <w:pStyle w:val="Heading2"/>
      </w:pPr>
      <w:r>
        <w:t>Constraints</w:t>
      </w:r>
    </w:p>
    <w:p>
      <w:pPr>
        <w:pStyle w:val="ListBullet"/>
      </w:pPr>
      <w:r>
        <w:t>PK_NumberSeries</w:t>
      </w:r>
    </w:p>
    <w:p>
      <w:pPr>
        <w:pStyle w:val="ListBullet"/>
      </w:pPr>
      <w:r>
        <w:t>FK_NumberSeries_Company</w:t>
      </w:r>
    </w:p>
    <w:p>
      <w:pPr>
        <w:pStyle w:val="ListBullet"/>
      </w:pPr>
      <w:r>
        <w:t>FK_NumberSeries_Branch</w:t>
      </w:r>
    </w:p>
    <w:p>
      <w:pPr>
        <w:pStyle w:val="ListBullet"/>
      </w:pPr>
      <w:r>
        <w:t>FK_NumberSeries_FiscalYear</w:t>
      </w:r>
    </w:p>
    <w:p>
      <w:pPr>
        <w:pStyle w:val="ListBullet"/>
      </w:pPr>
      <w:r>
        <w:t>UQ (CompanyId, BranchId, ModuleName, DocumentType, SeriesName)</w:t>
      </w:r>
    </w:p>
    <w:p>
      <w:pPr>
        <w:pStyle w:val="ListBullet"/>
      </w:pPr>
      <w:r>
        <w:t>CHECK (NextNumber &gt; 0)</w:t>
      </w:r>
    </w:p>
    <w:p>
      <w:pPr>
        <w:pStyle w:val="ListBullet"/>
      </w:pPr>
      <w:r>
        <w:t>CHECK (NumberLength BETWEEN 1 AND 20)</w:t>
      </w:r>
    </w:p>
    <w:p>
      <w:pPr>
        <w:pStyle w:val="Heading2"/>
      </w:pPr>
      <w:r>
        <w:t>Indexes</w:t>
      </w:r>
    </w:p>
    <w:p>
      <w:pPr>
        <w:pStyle w:val="ListBullet"/>
      </w:pPr>
      <w:r>
        <w:t>Clustered PK_NumberSeries</w:t>
      </w:r>
    </w:p>
    <w:p>
      <w:pPr>
        <w:pStyle w:val="ListBullet"/>
      </w:pPr>
      <w:r>
        <w:t>IX_Module_Document (ModuleName, DocumentType)</w:t>
      </w:r>
    </w:p>
    <w:p>
      <w:pPr>
        <w:pStyle w:val="ListBullet"/>
      </w:pPr>
      <w:r>
        <w:t>IX_Company (CompanyId)</w:t>
      </w:r>
    </w:p>
    <w:p>
      <w:pPr>
        <w:pStyle w:val="ListBullet"/>
      </w:pPr>
      <w:r>
        <w:t>IX_Branch (BranchId)</w:t>
      </w:r>
    </w:p>
    <w:p>
      <w:pPr>
        <w:pStyle w:val="ListBullet"/>
      </w:pPr>
      <w:r>
        <w:t>IX_Active (IsActive)</w:t>
      </w:r>
    </w:p>
    <w:p>
      <w:pPr>
        <w:pStyle w:val="Heading2"/>
      </w:pPr>
      <w:r>
        <w:t>Relationships</w:t>
      </w:r>
    </w:p>
    <w:p>
      <w:pPr>
        <w:pStyle w:val="ListBullet"/>
      </w:pPr>
      <w:r>
        <w:t>Company (1) -&gt; (N) NumberSeries</w:t>
      </w:r>
    </w:p>
    <w:p>
      <w:pPr>
        <w:pStyle w:val="ListBullet"/>
      </w:pPr>
      <w:r>
        <w:t>Branch (1) -&gt; (N) NumberSeries</w:t>
      </w:r>
    </w:p>
    <w:p>
      <w:pPr>
        <w:pStyle w:val="ListBullet"/>
      </w:pPr>
      <w:r>
        <w:t>FiscalYear (1) -&gt; (N) NumberSeries</w:t>
      </w:r>
    </w:p>
    <w:p>
      <w:pPr>
        <w:pStyle w:val="Heading2"/>
      </w:pPr>
      <w:r>
        <w:t>Business Rules</w:t>
      </w:r>
    </w:p>
    <w:p>
      <w:pPr>
        <w:pStyle w:val="ListBullet"/>
      </w:pPr>
      <w:r>
        <w:t>One default series per Company/Branch/DocumentType.</w:t>
      </w:r>
    </w:p>
    <w:p>
      <w:pPr>
        <w:pStyle w:val="ListBullet"/>
      </w:pPr>
      <w:r>
        <w:t>Numbers are generated atomically to avoid duplicates.</w:t>
      </w:r>
    </w:p>
    <w:p>
      <w:pPr>
        <w:pStyle w:val="ListBullet"/>
      </w:pPr>
      <w:r>
        <w:t>Consumed numbers are never reused.</w:t>
      </w:r>
    </w:p>
    <w:p>
      <w:pPr>
        <w:pStyle w:val="ListBullet"/>
      </w:pPr>
      <w:r>
        <w:t>Reset policy controls automatic sequence reset.</w:t>
      </w:r>
    </w:p>
    <w:p>
      <w:pPr>
        <w:pStyle w:val="Heading2"/>
      </w:pPr>
      <w:r>
        <w:t>Events Published</w:t>
      </w:r>
    </w:p>
    <w:p>
      <w:pPr>
        <w:pStyle w:val="ListBullet"/>
      </w:pPr>
      <w:r>
        <w:t>NumberSeriesCreated</w:t>
      </w:r>
    </w:p>
    <w:p>
      <w:pPr>
        <w:pStyle w:val="ListBullet"/>
      </w:pPr>
      <w:r>
        <w:t>NumberSeriesUpdated</w:t>
      </w:r>
    </w:p>
    <w:p>
      <w:pPr>
        <w:pStyle w:val="ListBullet"/>
      </w:pPr>
      <w:r>
        <w:t>NumberAllocated</w:t>
      </w:r>
    </w:p>
    <w:p>
      <w:pPr>
        <w:pStyle w:val="ListBullet"/>
      </w:pPr>
      <w:r>
        <w:t>NumberSeriesReset</w:t>
      </w:r>
    </w:p>
    <w:p>
      <w:pPr>
        <w:pStyle w:val="Heading2"/>
      </w:pPr>
      <w:r>
        <w:t>Developer Notes</w:t>
      </w:r>
    </w:p>
    <w:p>
      <w:r>
        <w:t>All document numbers in the ERP must be generated through this table to ensure uniqueness, consistency and concurrency safety.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