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VendorDomain_005_VendorPaymentProfile</w:t>
      </w:r>
    </w:p>
    <w:p>
      <w:pPr>
        <w:pStyle w:val="Heading2"/>
      </w:pPr>
      <w:r>
        <w:t>1. Table Classification</w:t>
      </w:r>
    </w:p>
    <w:p>
      <w:r>
        <w:t>Domain: Vendor Domain</w:t>
        <w:br/>
        <w:t>Table Name: VendorPaymentProfile</w:t>
        <w:br/>
        <w:t>Purpose: Master Table</w:t>
        <w:br/>
        <w:t>Ownership: Vendor Domain</w:t>
        <w:br/>
        <w:t>Aggregate Root: No</w:t>
      </w:r>
    </w:p>
    <w:p>
      <w:pPr>
        <w:pStyle w:val="Heading2"/>
      </w:pPr>
      <w:r>
        <w:t>2. Purpose</w:t>
      </w:r>
    </w:p>
    <w:p>
      <w:r>
        <w:t>VendorPaymentProfile defines standard payment terms and payment behavior templates assigned to vendors.</w:t>
        <w:br/>
        <w:br/>
        <w:t>Examples:</w:t>
        <w:br/>
        <w:t>• Cash</w:t>
        <w:br/>
        <w:t>• Net 15</w:t>
        <w:br/>
        <w:t>• Net 30</w:t>
        <w:br/>
        <w:t>• Net 45</w:t>
        <w:br/>
        <w:t>• Advance Payment</w:t>
        <w:br/>
        <w:t>• Partial Advance</w:t>
        <w:br/>
        <w:t>• Credit Supplier</w:t>
        <w:br/>
        <w:br/>
        <w:t>Each Vendor references one VendorPaymentProfile.</w:t>
      </w:r>
    </w:p>
    <w:p>
      <w:pPr>
        <w:pStyle w:val="Heading2"/>
      </w:pPr>
      <w:r>
        <w:t>3. Dependencies</w:t>
      </w:r>
    </w:p>
    <w:p>
      <w:r>
        <w:t>Depends On:</w:t>
        <w:br/>
        <w:t>- None</w:t>
        <w:br/>
        <w:br/>
        <w:t>Referenced By:</w:t>
        <w:br/>
        <w:t>- Vendor</w:t>
      </w:r>
    </w:p>
    <w:p>
      <w:pPr>
        <w:pStyle w:val="Heading2"/>
      </w:pPr>
      <w:r>
        <w:t>4. Complete Database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Column Name</w:t>
            </w:r>
          </w:p>
        </w:tc>
        <w:tc>
          <w:tcPr>
            <w:tcW w:type="dxa" w:w="1234"/>
          </w:tcPr>
          <w:p>
            <w:r>
              <w:t>SQL Data Type</w:t>
            </w:r>
          </w:p>
        </w:tc>
        <w:tc>
          <w:tcPr>
            <w:tcW w:type="dxa" w:w="1234"/>
          </w:tcPr>
          <w:p>
            <w:r>
              <w:t>Nullable</w:t>
            </w:r>
          </w:p>
        </w:tc>
        <w:tc>
          <w:tcPr>
            <w:tcW w:type="dxa" w:w="1234"/>
          </w:tcPr>
          <w:p>
            <w:r>
              <w:t>Default Value</w:t>
            </w:r>
          </w:p>
        </w:tc>
        <w:tc>
          <w:tcPr>
            <w:tcW w:type="dxa" w:w="1234"/>
          </w:tcPr>
          <w:p>
            <w:r>
              <w:t>PK</w:t>
            </w:r>
          </w:p>
        </w:tc>
        <w:tc>
          <w:tcPr>
            <w:tcW w:type="dxa" w:w="1234"/>
          </w:tcPr>
          <w:p>
            <w:r>
              <w:t>FK</w:t>
            </w:r>
          </w:p>
        </w:tc>
        <w:tc>
          <w:tcPr>
            <w:tcW w:type="dxa" w:w="1234"/>
          </w:tcPr>
          <w:p>
            <w:r>
              <w:t>Description</w:t>
            </w:r>
          </w:p>
        </w:tc>
      </w:tr>
      <w:tr>
        <w:tc>
          <w:tcPr>
            <w:tcW w:type="dxa" w:w="1234"/>
          </w:tcPr>
          <w:p>
            <w:r>
              <w:t>VendorPaymentProfileId</w:t>
            </w:r>
          </w:p>
        </w:tc>
        <w:tc>
          <w:tcPr>
            <w:tcW w:type="dxa" w:w="1234"/>
          </w:tcPr>
          <w:p>
            <w:r>
              <w:t>BIGINT IDENTITY(1,1)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Identity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Primary Key</w:t>
            </w:r>
          </w:p>
        </w:tc>
      </w:tr>
      <w:tr>
        <w:tc>
          <w:tcPr>
            <w:tcW w:type="dxa" w:w="1234"/>
          </w:tcPr>
          <w:p>
            <w:r>
              <w:t>ProfileCode</w:t>
            </w:r>
          </w:p>
        </w:tc>
        <w:tc>
          <w:tcPr>
            <w:tcW w:type="dxa" w:w="1234"/>
          </w:tcPr>
          <w:p>
            <w:r>
              <w:t>NVARCHAR(20)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Unique profile code</w:t>
            </w:r>
          </w:p>
        </w:tc>
      </w:tr>
      <w:tr>
        <w:tc>
          <w:tcPr>
            <w:tcW w:type="dxa" w:w="1234"/>
          </w:tcPr>
          <w:p>
            <w:r>
              <w:t>ProfileName</w:t>
            </w:r>
          </w:p>
        </w:tc>
        <w:tc>
          <w:tcPr>
            <w:tcW w:type="dxa" w:w="1234"/>
          </w:tcPr>
          <w:p>
            <w:r>
              <w:t>NVARCHAR(150)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Payment profile name</w:t>
            </w:r>
          </w:p>
        </w:tc>
      </w:tr>
      <w:tr>
        <w:tc>
          <w:tcPr>
            <w:tcW w:type="dxa" w:w="1234"/>
          </w:tcPr>
          <w:p>
            <w:r>
              <w:t>PaymentTermDays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Default payment term in days</w:t>
            </w:r>
          </w:p>
        </w:tc>
      </w:tr>
      <w:tr>
        <w:tc>
          <w:tcPr>
            <w:tcW w:type="dxa" w:w="1234"/>
          </w:tcPr>
          <w:p>
            <w:r>
              <w:t>AdvancePaymentPercent</w:t>
            </w:r>
          </w:p>
        </w:tc>
        <w:tc>
          <w:tcPr>
            <w:tcW w:type="dxa" w:w="1234"/>
          </w:tcPr>
          <w:p>
            <w:r>
              <w:t>DECIMAL(5,2)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Advance payment percentage</w:t>
            </w:r>
          </w:p>
        </w:tc>
      </w:tr>
      <w:tr>
        <w:tc>
          <w:tcPr>
            <w:tcW w:type="dxa" w:w="1234"/>
          </w:tcPr>
          <w:p>
            <w:r>
              <w:t>Description</w:t>
            </w:r>
          </w:p>
        </w:tc>
        <w:tc>
          <w:tcPr>
            <w:tcW w:type="dxa" w:w="1234"/>
          </w:tcPr>
          <w:p>
            <w:r>
              <w:t>NVARCHAR(500)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Description</w:t>
            </w:r>
          </w:p>
        </w:tc>
      </w:tr>
      <w:tr>
        <w:tc>
          <w:tcPr>
            <w:tcW w:type="dxa" w:w="1234"/>
          </w:tcPr>
          <w:p>
            <w:r>
              <w:t>IsActive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Active flag</w:t>
            </w:r>
          </w:p>
        </w:tc>
      </w:tr>
      <w:tr>
        <w:tc>
          <w:tcPr>
            <w:tcW w:type="dxa" w:w="1234"/>
          </w:tcPr>
          <w:p>
            <w:r>
              <w:t>StatusId</w:t>
            </w:r>
          </w:p>
        </w:tc>
        <w:tc>
          <w:tcPr>
            <w:tcW w:type="dxa" w:w="1234"/>
          </w:tcPr>
          <w:p>
            <w:r>
              <w:t>SMALLINT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</w:tr>
      <w:tr>
        <w:tc>
          <w:tcPr>
            <w:tcW w:type="dxa" w:w="1234"/>
          </w:tcPr>
          <w:p>
            <w:r>
              <w:t>CreatedBy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Created by</w:t>
            </w:r>
          </w:p>
        </w:tc>
      </w:tr>
      <w:tr>
        <w:tc>
          <w:tcPr>
            <w:tcW w:type="dxa" w:w="1234"/>
          </w:tcPr>
          <w:p>
            <w:r>
              <w:t>CreatedDate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SYSUTCDATETIME()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Created date</w:t>
            </w:r>
          </w:p>
        </w:tc>
      </w:tr>
      <w:tr>
        <w:tc>
          <w:tcPr>
            <w:tcW w:type="dxa" w:w="1234"/>
          </w:tcPr>
          <w:p>
            <w:r>
              <w:t>ModifiedBy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Modified by</w:t>
            </w:r>
          </w:p>
        </w:tc>
      </w:tr>
      <w:tr>
        <w:tc>
          <w:tcPr>
            <w:tcW w:type="dxa" w:w="1234"/>
          </w:tcPr>
          <w:p>
            <w:r>
              <w:t>ModifiedDate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Modified date</w:t>
            </w:r>
          </w:p>
        </w:tc>
      </w:tr>
      <w:tr>
        <w:tc>
          <w:tcPr>
            <w:tcW w:type="dxa" w:w="1234"/>
          </w:tcPr>
          <w:p>
            <w:r>
              <w:t>DeletedBy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Deleted by</w:t>
            </w:r>
          </w:p>
        </w:tc>
      </w:tr>
      <w:tr>
        <w:tc>
          <w:tcPr>
            <w:tcW w:type="dxa" w:w="1234"/>
          </w:tcPr>
          <w:p>
            <w:r>
              <w:t>DeletedDate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Deleted date</w:t>
            </w:r>
          </w:p>
        </w:tc>
      </w:tr>
      <w:tr>
        <w:tc>
          <w:tcPr>
            <w:tcW w:type="dxa" w:w="1234"/>
          </w:tcPr>
          <w:p>
            <w:r>
              <w:t>IsDeleted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Soft delete</w:t>
            </w:r>
          </w:p>
        </w:tc>
      </w:tr>
      <w:tr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Auto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Concurrency token</w:t>
            </w:r>
          </w:p>
        </w:tc>
      </w:tr>
    </w:tbl>
    <w:p>
      <w:pPr>
        <w:pStyle w:val="Heading2"/>
      </w:pPr>
      <w:r>
        <w:t>5. Constraints</w:t>
      </w:r>
    </w:p>
    <w:p>
      <w:r>
        <w:t>Primary Key</w:t>
        <w:br/>
        <w:t>- PK_VendorPaymentProfile</w:t>
        <w:br/>
        <w:br/>
        <w:t>Foreign Keys</w:t>
        <w:br/>
        <w:t>- None</w:t>
        <w:br/>
        <w:br/>
        <w:t>Unique Keys</w:t>
        <w:br/>
        <w:t>- UQ_VendorPaymentProfile_ProfileCode</w:t>
        <w:br/>
        <w:t>- UQ_VendorPaymentProfile_ProfileName</w:t>
        <w:br/>
        <w:br/>
        <w:t>Check Constraints</w:t>
        <w:br/>
        <w:t>- PaymentTermDays &gt;= 0</w:t>
        <w:br/>
        <w:t>- AdvancePaymentPercent BETWEEN 0 AND 100</w:t>
        <w:br/>
        <w:t>- StatusId &gt; 0</w:t>
      </w:r>
    </w:p>
    <w:p>
      <w:pPr>
        <w:pStyle w:val="Heading2"/>
      </w:pPr>
      <w:r>
        <w:t>6. Indexes</w:t>
      </w:r>
    </w:p>
    <w:p>
      <w:r>
        <w:t>Clustered</w:t>
        <w:br/>
        <w:t>- PK_VendorPaymentProfile</w:t>
        <w:br/>
        <w:br/>
        <w:t>Non-Clustered</w:t>
        <w:br/>
        <w:t>- IX_ProfileName</w:t>
        <w:br/>
        <w:t>- IX_ProfileCode</w:t>
        <w:br/>
        <w:t>- IX_Status (StatusId, IsDeleted, IsActive)</w:t>
      </w:r>
    </w:p>
    <w:p>
      <w:pPr>
        <w:pStyle w:val="Heading2"/>
      </w:pPr>
      <w:r>
        <w:t>7. Relationships</w:t>
      </w:r>
    </w:p>
    <w:p>
      <w:r>
        <w:t>1:N</w:t>
        <w:br/>
        <w:t>VendorPaymentProfile (1) → Vendor (Many)</w:t>
        <w:br/>
        <w:t>FK: Vendor.VendorPaymentProfileId</w:t>
        <w:br/>
        <w:br/>
        <w:t>1:1</w:t>
        <w:br/>
        <w:t>None</w:t>
        <w:br/>
        <w:br/>
        <w:t>N:N</w:t>
        <w:br/>
        <w:t>None</w:t>
      </w:r>
    </w:p>
    <w:p>
      <w:pPr>
        <w:pStyle w:val="Heading2"/>
      </w:pPr>
      <w:r>
        <w:t>8. Business Rules</w:t>
      </w:r>
    </w:p>
    <w:p>
      <w:pPr>
        <w:pStyle w:val="ListBullet"/>
      </w:pPr>
      <w:r>
        <w:t>Profile name and code must be unique.</w:t>
      </w:r>
    </w:p>
    <w:p>
      <w:pPr>
        <w:pStyle w:val="ListBullet"/>
      </w:pPr>
      <w:r>
        <w:t>Payment terms cannot be negative.</w:t>
      </w:r>
    </w:p>
    <w:p>
      <w:pPr>
        <w:pStyle w:val="ListBullet"/>
      </w:pPr>
      <w:r>
        <w:t>Advance payment percentage must be between 0 and 100.</w:t>
      </w:r>
    </w:p>
    <w:p>
      <w:pPr>
        <w:pStyle w:val="ListBullet"/>
      </w:pPr>
      <w:r>
        <w:t>Inactive profiles cannot be assigned to new vendors.</w:t>
      </w:r>
    </w:p>
    <w:p>
      <w:pPr>
        <w:pStyle w:val="ListBullet"/>
      </w:pPr>
      <w:r>
        <w:t>Soft delete only; physical deletion is prohibited.</w:t>
      </w:r>
    </w:p>
    <w:p>
      <w:pPr>
        <w:pStyle w:val="ListBullet"/>
      </w:pPr>
      <w:r>
        <w:t>Profiles referenced by vendors cannot be deleted.</w:t>
      </w:r>
    </w:p>
    <w:p>
      <w:pPr>
        <w:pStyle w:val="ListBullet"/>
      </w:pPr>
      <w:r>
        <w:t>Audit fields are mandatory.</w:t>
      </w:r>
    </w:p>
    <w:p>
      <w:pPr>
        <w:pStyle w:val="ListBullet"/>
      </w:pPr>
      <w:r>
        <w:t>RowVersion is required for optimistic concurrency.</w:t>
      </w:r>
    </w:p>
    <w:p>
      <w:pPr>
        <w:pStyle w:val="Heading2"/>
      </w:pPr>
      <w:r>
        <w:t>9. Published Domain Events</w:t>
      </w:r>
    </w:p>
    <w:p>
      <w:pPr>
        <w:pStyle w:val="ListBullet"/>
      </w:pPr>
      <w:r>
        <w:t>VendorPaymentProfileCreated</w:t>
      </w:r>
    </w:p>
    <w:p>
      <w:pPr>
        <w:pStyle w:val="ListBullet"/>
      </w:pPr>
      <w:r>
        <w:t>VendorPaymentProfileUpdated</w:t>
      </w:r>
    </w:p>
    <w:p>
      <w:pPr>
        <w:pStyle w:val="ListBullet"/>
      </w:pPr>
      <w:r>
        <w:t>VendorPaymentProfileActivated</w:t>
      </w:r>
    </w:p>
    <w:p>
      <w:pPr>
        <w:pStyle w:val="ListBullet"/>
      </w:pPr>
      <w:r>
        <w:t>VendorPaymentProfileDeactivated</w:t>
      </w:r>
    </w:p>
    <w:p>
      <w:pPr>
        <w:pStyle w:val="ListBullet"/>
      </w:pPr>
      <w:r>
        <w:t>VendorPaymentProfileDeleted</w:t>
      </w:r>
    </w:p>
    <w:p>
      <w:pPr>
        <w:pStyle w:val="Heading2"/>
      </w:pPr>
      <w:r>
        <w:t>10. Developer Notes</w:t>
      </w:r>
    </w:p>
    <w:p>
      <w:pPr>
        <w:pStyle w:val="ListBullet"/>
      </w:pPr>
      <w:r>
        <w:t>Master lookup table.</w:t>
      </w:r>
    </w:p>
    <w:p>
      <w:pPr>
        <w:pStyle w:val="ListBullet"/>
      </w:pPr>
      <w:r>
        <w:t>Provides default payment behavior during vendor creation.</w:t>
      </w:r>
    </w:p>
    <w:p>
      <w:pPr>
        <w:pStyle w:val="ListBullet"/>
      </w:pPr>
      <w:r>
        <w:t>Can be referenced by procurement and accounts payable modules.</w:t>
      </w:r>
    </w:p>
    <w:p>
      <w:pPr>
        <w:pStyle w:val="ListBullet"/>
      </w:pPr>
      <w:r>
        <w:t>Always filter active, non-deleted records.</w:t>
      </w:r>
    </w:p>
    <w:p>
      <w:pPr>
        <w:pStyle w:val="ListBullet"/>
      </w:pPr>
      <w:r>
        <w:t>Complies with global ERP standards.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