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A272"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 Overview of Diabetes Mellitus</w:t>
      </w:r>
    </w:p>
    <w:p w14:paraId="6292C6EE" w14:textId="77777777" w:rsidR="00F13C04" w:rsidRPr="00F13C04" w:rsidRDefault="00F13C04" w:rsidP="00F13C04">
      <w:pPr>
        <w:numPr>
          <w:ilvl w:val="0"/>
          <w:numId w:val="1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"Diabetes mellitus (DM): classification and diagnosis. DM results from lack, or reduced effectiveness, of endogenous insulin. Hyperglycaemia is one aspect of a far-reaching metabolic derangement, which causes serious microvascular (retinopathy, nephropathy, neuropathy) or macrovascular problems: stroke, MI, renovascular disease, limb ischaemia."</w:t>
      </w:r>
    </w:p>
    <w:p w14:paraId="33E6784C" w14:textId="77777777" w:rsidR="00F13C04" w:rsidRPr="00F13C04" w:rsidRDefault="00F13C04" w:rsidP="00F13C04">
      <w:pPr>
        <w:numPr>
          <w:ilvl w:val="0"/>
          <w:numId w:val="1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Provides an overview of diabetes mellitus, its classification, and associated complications.</w:t>
      </w:r>
    </w:p>
    <w:p w14:paraId="2BA1BB4D"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26AAE8CA">
          <v:rect id="_x0000_i1479" style="width:0;height:1.5pt" o:hralign="center" o:hrstd="t" o:hrnoshade="t" o:hr="t" fillcolor="#0a0a0a" stroked="f"/>
        </w:pict>
      </w:r>
    </w:p>
    <w:p w14:paraId="769B3B95"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2: Type 1 Diabetes Mellitus</w:t>
      </w:r>
    </w:p>
    <w:p w14:paraId="3C49AF53" w14:textId="77777777" w:rsidR="00F13C04" w:rsidRPr="00F13C04" w:rsidRDefault="00F13C04" w:rsidP="00F13C04">
      <w:pPr>
        <w:numPr>
          <w:ilvl w:val="0"/>
          <w:numId w:val="1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"Type 1 DM: Usually adolescent onset but may occur at any age. Cause: insulin deficiency from autoimmune destruction of insulin-secreting pancreatic β cells. Patients must have insulin and are prone to ketoacidosis and weight loss. Associated with other autoimmune diseases (&gt;90% HLA DR3 ± DR4)."</w:t>
      </w:r>
    </w:p>
    <w:p w14:paraId="71D7E814" w14:textId="77777777" w:rsidR="00F13C04" w:rsidRPr="00F13C04" w:rsidRDefault="00F13C04" w:rsidP="00F13C04">
      <w:pPr>
        <w:numPr>
          <w:ilvl w:val="0"/>
          <w:numId w:val="1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Describes the characteristics, causes, and associated risks of Type 1 diabetes.</w:t>
      </w:r>
    </w:p>
    <w:p w14:paraId="02EF3AC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5B15E89">
          <v:rect id="_x0000_i1480" style="width:0;height:1.5pt" o:hralign="center" o:hrstd="t" o:hrnoshade="t" o:hr="t" fillcolor="#0a0a0a" stroked="f"/>
        </w:pict>
      </w:r>
    </w:p>
    <w:p w14:paraId="2EAFCE46"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3: Type 2 Diabetes Mellitus</w:t>
      </w:r>
    </w:p>
    <w:p w14:paraId="29891A51" w14:textId="77777777" w:rsidR="00F13C04" w:rsidRPr="00F13C04" w:rsidRDefault="00F13C04" w:rsidP="00F13C04">
      <w:pPr>
        <w:numPr>
          <w:ilvl w:val="0"/>
          <w:numId w:val="1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"Type 2 DM: (Formerly non-insulin-dependent DM, NIDDM) is at ‘epidemic’ levels in many places, mainly due to changes in lifestyle, but also because of better diagnosis and improved longevity. Higher prevalence in Asians, men, and the elderly. Cause: insulin secretion ± insulin resistance. It is associated with obesity, lack of exercise, calorie and alcohol excess."</w:t>
      </w:r>
    </w:p>
    <w:p w14:paraId="0BC35977" w14:textId="77777777" w:rsidR="00F13C04" w:rsidRPr="00F13C04" w:rsidRDefault="00F13C04" w:rsidP="00F13C04">
      <w:pPr>
        <w:numPr>
          <w:ilvl w:val="0"/>
          <w:numId w:val="1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Explains the causes, prevalence, and lifestyle factors contributing to Type 2 diabetes.</w:t>
      </w:r>
    </w:p>
    <w:p w14:paraId="604BDB02"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0845663">
          <v:rect id="_x0000_i1481" style="width:0;height:1.5pt" o:hralign="center" o:hrstd="t" o:hrnoshade="t" o:hr="t" fillcolor="#0a0a0a" stroked="f"/>
        </w:pict>
      </w:r>
    </w:p>
    <w:p w14:paraId="591DBF15"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4: Impaired Glucose Tolerance and Fasting Glucose</w:t>
      </w:r>
    </w:p>
    <w:p w14:paraId="65385CEC" w14:textId="77777777" w:rsidR="00F13C04" w:rsidRPr="00F13C04" w:rsidRDefault="00F13C04" w:rsidP="00F13C04">
      <w:pPr>
        <w:numPr>
          <w:ilvl w:val="0"/>
          <w:numId w:val="1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"Impaired glucose tolerance (IGT): Fasting plasma glucose &lt;7mmol/L and OGTT (oral glucose tolerance) 2h glucose ≥7.8mmol/L but &lt;11.1mmol/L. Impaired fasting glucose (IFG): Fasting plasma glucose ≥6.1mmol/L but &lt;7mmol/L (WHO criteria)."</w:t>
      </w:r>
    </w:p>
    <w:p w14:paraId="3E51B0D6" w14:textId="77777777" w:rsidR="00F13C04" w:rsidRPr="00F13C04" w:rsidRDefault="00F13C04" w:rsidP="00F13C04">
      <w:pPr>
        <w:numPr>
          <w:ilvl w:val="0"/>
          <w:numId w:val="1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Defines impaired glucose tolerance and fasting glucose, including diagnostic criteria.</w:t>
      </w:r>
    </w:p>
    <w:p w14:paraId="5EF9D92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FF2B24F">
          <v:rect id="_x0000_i1482" style="width:0;height:1.5pt" o:hralign="center" o:hrstd="t" o:hrnoshade="t" o:hr="t" fillcolor="#0a0a0a" stroked="f"/>
        </w:pict>
      </w:r>
    </w:p>
    <w:p w14:paraId="320DB8F1"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5: Other Causes of Diabetes Mellitus</w:t>
      </w:r>
    </w:p>
    <w:p w14:paraId="537CB95C" w14:textId="77777777" w:rsidR="00F13C04" w:rsidRPr="00F13C04" w:rsidRDefault="00F13C04" w:rsidP="00F13C04">
      <w:pPr>
        <w:numPr>
          <w:ilvl w:val="0"/>
          <w:numId w:val="1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lastRenderedPageBreak/>
        <w:t>Content</w:t>
      </w:r>
      <w:r w:rsidRPr="00F13C04">
        <w:rPr>
          <w:rFonts w:ascii="Times New Roman" w:eastAsia="Times New Roman" w:hAnsi="Times New Roman" w:cs="Times New Roman"/>
          <w:sz w:val="24"/>
          <w:szCs w:val="24"/>
          <w:lang w:eastAsia="en-GB"/>
        </w:rPr>
        <w:t>: "Other causes of DM: Steroids; anti-HIV drugs; newer antipsychotics. Pancreatic: pancreatitis; surgery; trauma; pancreatic destruction; pancreatic cancer. Cushing’s disease; acromegaly; phaeochromocytoma; hyperthyroidism; pregnancy."</w:t>
      </w:r>
    </w:p>
    <w:p w14:paraId="72DFE705" w14:textId="77777777" w:rsidR="00F13C04" w:rsidRPr="00F13C04" w:rsidRDefault="00F13C04" w:rsidP="00F13C04">
      <w:pPr>
        <w:numPr>
          <w:ilvl w:val="0"/>
          <w:numId w:val="1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Lists secondary causes of diabetes mellitus.</w:t>
      </w:r>
    </w:p>
    <w:p w14:paraId="12AE9A8A"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CAF7031">
          <v:rect id="_x0000_i1483" style="width:0;height:1.5pt" o:hralign="center" o:hrstd="t" o:hrnoshade="t" o:hr="t" fillcolor="#0a0a0a" stroked="f"/>
        </w:pict>
      </w:r>
    </w:p>
    <w:p w14:paraId="4F6B4D0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6: Metabolic Syndrome</w:t>
      </w:r>
    </w:p>
    <w:p w14:paraId="627664B9" w14:textId="77777777" w:rsidR="00F13C04" w:rsidRPr="00F13C04" w:rsidRDefault="00F13C04" w:rsidP="00F13C04">
      <w:pPr>
        <w:numPr>
          <w:ilvl w:val="0"/>
          <w:numId w:val="17"/>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"Metabolic syndrome (syndrome x): Definition from International Diabetes Federation: central obesity (BMI &gt;30, or waist circumference, ethnic-specific values), plus two of BP ≥130/85, triglycerides ≥1.7mmol/L, HDL ≤1.03/1.29mmol/L, fasting glucose ≥5.6mmol/L or type 2 DM."</w:t>
      </w:r>
    </w:p>
    <w:p w14:paraId="7302F7FA" w14:textId="77777777" w:rsidR="00F13C04" w:rsidRPr="00F13C04" w:rsidRDefault="00F13C04" w:rsidP="00F13C04">
      <w:pPr>
        <w:numPr>
          <w:ilvl w:val="0"/>
          <w:numId w:val="17"/>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Defines metabolic syndrome and its diagnostic criteria.</w:t>
      </w:r>
    </w:p>
    <w:p w14:paraId="53F02BCD"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16FF7F9">
          <v:rect id="_x0000_i1484" style="width:0;height:1.5pt" o:hralign="center" o:hrstd="t" o:hrnoshade="t" o:hr="t" fillcolor="#0a0a0a" stroked="f"/>
        </w:pict>
      </w:r>
    </w:p>
    <w:p w14:paraId="3FCD4C96"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7: Diagnosis of Diabetes Mellitus</w:t>
      </w:r>
    </w:p>
    <w:p w14:paraId="41FFECA9" w14:textId="77777777" w:rsidR="00F13C04" w:rsidRPr="00F13C04" w:rsidRDefault="00F13C04" w:rsidP="00F13C04">
      <w:pPr>
        <w:numPr>
          <w:ilvl w:val="0"/>
          <w:numId w:val="18"/>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"Symptoms of hyperglycaemia (e.g., polyuria, polydipsia, unexplained weight loss, visual blurring, genital thrush, lethargy) AND raised venous glucose detected once—fasting ≥7mmol/L or random ≥11.1mmol/L OR raised venous glucose on two separate occasions—fasting ≥7mmol/L, random ≥11.1mmol/L or oral glucose tolerance test (OGTT)—2h value ≥11.1mmol/L."</w:t>
      </w:r>
    </w:p>
    <w:p w14:paraId="1226E4E4" w14:textId="77777777" w:rsidR="00F13C04" w:rsidRPr="00F13C04" w:rsidRDefault="00F13C04" w:rsidP="00F13C04">
      <w:pPr>
        <w:numPr>
          <w:ilvl w:val="0"/>
          <w:numId w:val="18"/>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Provides diagnostic criteria for diabetes mellitus.</w:t>
      </w:r>
    </w:p>
    <w:p w14:paraId="7927BBF7"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3F88BBB6">
          <v:rect id="_x0000_i1485" style="width:0;height:1.5pt" o:hralign="center" o:hrstd="t" o:hrnoshade="t" o:hr="t" fillcolor="#0a0a0a" stroked="f"/>
        </w:pict>
      </w:r>
    </w:p>
    <w:p w14:paraId="0462FB5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8: Differentiating Type 1 and Type 2 Diabetes</w:t>
      </w:r>
    </w:p>
    <w:p w14:paraId="64507E16" w14:textId="77777777" w:rsidR="00F13C04" w:rsidRPr="00F13C04" w:rsidRDefault="00F13C04" w:rsidP="00F13C04">
      <w:pPr>
        <w:numPr>
          <w:ilvl w:val="0"/>
          <w:numId w:val="19"/>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"Occasionally it may be difficult to differentiate whether a patient has type 1 or 2 DM, although they can present differently. Features of type 1 include weight loss; persistent hyperglycaemia despite diet and medications; presence of autoantibodies: islet cell antibodies (ICA) and anti-glutamic acid decarboxylase (GAD) antibodies; ketonuria."</w:t>
      </w:r>
    </w:p>
    <w:p w14:paraId="7F01F126" w14:textId="77777777" w:rsidR="00F13C04" w:rsidRPr="00F13C04" w:rsidRDefault="00F13C04" w:rsidP="00F13C04">
      <w:pPr>
        <w:numPr>
          <w:ilvl w:val="0"/>
          <w:numId w:val="19"/>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Explains how to differentiate between Type 1 and Type 2 diabetes.</w:t>
      </w:r>
    </w:p>
    <w:p w14:paraId="088D32D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7B960E0E">
          <v:rect id="_x0000_i1486" style="width:0;height:1.5pt" o:hralign="center" o:hrstd="t" o:hrnoshade="t" o:hr="t" fillcolor="#0a0a0a" stroked="f"/>
        </w:pict>
      </w:r>
    </w:p>
    <w:p w14:paraId="2BE5566D"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9: Dietary Management in Diabetes</w:t>
      </w:r>
    </w:p>
    <w:p w14:paraId="18315D08" w14:textId="77777777" w:rsidR="00F13C04" w:rsidRPr="00F13C04" w:rsidRDefault="00F13C04" w:rsidP="00F13C04">
      <w:pPr>
        <w:numPr>
          <w:ilvl w:val="0"/>
          <w:numId w:val="20"/>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"Dietary carbohydrate is a big determinant of postprandial glucose levels, and low-carbohydrate diets improve glycaemic control. How do low-carbohydrate, ketogenic diets (&lt;20g of carbohydrate daily; LCKD) compare with low-glycaemic index, reduced-calorie diet?"</w:t>
      </w:r>
    </w:p>
    <w:p w14:paraId="38CAAFAF" w14:textId="77777777" w:rsidR="00F13C04" w:rsidRPr="00F13C04" w:rsidRDefault="00F13C04" w:rsidP="00F13C04">
      <w:pPr>
        <w:numPr>
          <w:ilvl w:val="0"/>
          <w:numId w:val="20"/>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Discusses dietary approaches for managing diabetes.</w:t>
      </w:r>
    </w:p>
    <w:p w14:paraId="52C293C1"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6A62BB1">
          <v:rect id="_x0000_i1487" style="width:0;height:1.5pt" o:hralign="center" o:hrstd="t" o:hrnoshade="t" o:hr="t" fillcolor="#0a0a0a" stroked="f"/>
        </w:pict>
      </w:r>
    </w:p>
    <w:p w14:paraId="0DAB4263"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10: Monitoring Glucose Control</w:t>
      </w:r>
    </w:p>
    <w:p w14:paraId="7E1E7952" w14:textId="77777777" w:rsidR="00F13C04" w:rsidRPr="00F13C04" w:rsidRDefault="00F13C04" w:rsidP="00F13C04">
      <w:pPr>
        <w:numPr>
          <w:ilvl w:val="0"/>
          <w:numId w:val="21"/>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lastRenderedPageBreak/>
        <w:t>Content</w:t>
      </w:r>
      <w:r w:rsidRPr="00F13C04">
        <w:rPr>
          <w:rFonts w:ascii="Times New Roman" w:eastAsia="Times New Roman" w:hAnsi="Times New Roman" w:cs="Times New Roman"/>
          <w:sz w:val="24"/>
          <w:szCs w:val="24"/>
          <w:lang w:eastAsia="en-GB"/>
        </w:rPr>
        <w:t xml:space="preserve">: "Monitoring glucose control: </w:t>
      </w:r>
      <w:proofErr w:type="spellStart"/>
      <w:r w:rsidRPr="00F13C04">
        <w:rPr>
          <w:rFonts w:ascii="Times New Roman" w:eastAsia="Times New Roman" w:hAnsi="Times New Roman" w:cs="Times New Roman"/>
          <w:sz w:val="24"/>
          <w:szCs w:val="24"/>
          <w:lang w:eastAsia="en-GB"/>
        </w:rPr>
        <w:t>Fingerprick</w:t>
      </w:r>
      <w:proofErr w:type="spellEnd"/>
      <w:r w:rsidRPr="00F13C04">
        <w:rPr>
          <w:rFonts w:ascii="Times New Roman" w:eastAsia="Times New Roman" w:hAnsi="Times New Roman" w:cs="Times New Roman"/>
          <w:sz w:val="24"/>
          <w:szCs w:val="24"/>
          <w:lang w:eastAsia="en-GB"/>
        </w:rPr>
        <w:t xml:space="preserve"> glucose if on insulin (type 1/2). Glycated haemoglobin (HbA1c) relates to mean glucose level over previous 8 weeks. Targets are negotiable, e.g., 48–57mmol/mol (depends on patient’s wish and arterial risk)."</w:t>
      </w:r>
    </w:p>
    <w:p w14:paraId="7221492E" w14:textId="77777777" w:rsidR="00F13C04" w:rsidRPr="00F13C04" w:rsidRDefault="00F13C04" w:rsidP="00F13C04">
      <w:pPr>
        <w:numPr>
          <w:ilvl w:val="0"/>
          <w:numId w:val="21"/>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Describes methods for monitoring glucose control in diabetes.</w:t>
      </w:r>
    </w:p>
    <w:p w14:paraId="02015670"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FE701D6">
          <v:rect id="_x0000_i1488" style="width:0;height:1.5pt" o:hralign="center" o:hrstd="t" o:hrnoshade="t" o:hr="t" fillcolor="#0a0a0a" stroked="f"/>
        </w:pict>
      </w:r>
    </w:p>
    <w:p w14:paraId="085DA962"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11: Complications of Diabetes Mellitus</w:t>
      </w:r>
    </w:p>
    <w:p w14:paraId="0C37CBE8" w14:textId="77777777" w:rsidR="00F13C04" w:rsidRPr="00F13C04" w:rsidRDefault="00F13C04" w:rsidP="00F13C04">
      <w:pPr>
        <w:numPr>
          <w:ilvl w:val="0"/>
          <w:numId w:val="2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"Complications of established diabetes: Prospective studies show that good control of hyperglycaemia is key to preventing microvascular complications in type 1 and 2 DM. Assess vascular risk BP control is crucial for preventing macrovascular disease and mortality."</w:t>
      </w:r>
    </w:p>
    <w:p w14:paraId="53962956" w14:textId="77777777" w:rsidR="00F13C04" w:rsidRPr="00F13C04" w:rsidRDefault="00F13C04" w:rsidP="00F13C04">
      <w:pPr>
        <w:numPr>
          <w:ilvl w:val="0"/>
          <w:numId w:val="2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Highlights the importance of controlling hyperglycaemia to prevent complications.</w:t>
      </w:r>
    </w:p>
    <w:p w14:paraId="42BC9D50"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C3E5519">
          <v:rect id="_x0000_i1489" style="width:0;height:1.5pt" o:hralign="center" o:hrstd="t" o:hrnoshade="t" o:hr="t" fillcolor="#0a0a0a" stroked="f"/>
        </w:pict>
      </w:r>
    </w:p>
    <w:p w14:paraId="58EBED8A"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12: Diabetic Neuropathy and Foot Care</w:t>
      </w:r>
    </w:p>
    <w:p w14:paraId="6E049B0D" w14:textId="77777777" w:rsidR="00F13C04" w:rsidRPr="00F13C04" w:rsidRDefault="00F13C04" w:rsidP="00F13C04">
      <w:pPr>
        <w:numPr>
          <w:ilvl w:val="0"/>
          <w:numId w:val="2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"Diabetic neuropathy and diabetic foot care: Refer early to foot services. Amputations are common and preventable. Examine feet regularly. Distinguish between ischaemia and peripheral neuropathy."</w:t>
      </w:r>
    </w:p>
    <w:p w14:paraId="41BD2C59" w14:textId="77777777" w:rsidR="00F13C04" w:rsidRPr="00F13C04" w:rsidRDefault="00F13C04" w:rsidP="00F13C04">
      <w:pPr>
        <w:numPr>
          <w:ilvl w:val="0"/>
          <w:numId w:val="2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Discusses diabetic neuropathy and foot care management.</w:t>
      </w:r>
    </w:p>
    <w:p w14:paraId="115B1818"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E53585A">
          <v:rect id="_x0000_i1490" style="width:0;height:1.5pt" o:hralign="center" o:hrstd="t" o:hrnoshade="t" o:hr="t" fillcolor="#0a0a0a" stroked="f"/>
        </w:pict>
      </w:r>
    </w:p>
    <w:p w14:paraId="6EB80850"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13: Pregnancy and Diabetes</w:t>
      </w:r>
    </w:p>
    <w:p w14:paraId="2523DCBA" w14:textId="77777777" w:rsidR="00F13C04" w:rsidRPr="00F13C04" w:rsidRDefault="00F13C04" w:rsidP="00F13C04">
      <w:pPr>
        <w:numPr>
          <w:ilvl w:val="0"/>
          <w:numId w:val="2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xml:space="preserve">: "Pregnancy: 4% are complicated by DM: either pre-existing or new-onset gestational diabetes (GDM). All forms carry an increased risk to mother and </w:t>
      </w:r>
      <w:proofErr w:type="spellStart"/>
      <w:r w:rsidRPr="00F13C04">
        <w:rPr>
          <w:rFonts w:ascii="Times New Roman" w:eastAsia="Times New Roman" w:hAnsi="Times New Roman" w:cs="Times New Roman"/>
          <w:sz w:val="24"/>
          <w:szCs w:val="24"/>
          <w:lang w:eastAsia="en-GB"/>
        </w:rPr>
        <w:t>fetus</w:t>
      </w:r>
      <w:proofErr w:type="spellEnd"/>
      <w:r w:rsidRPr="00F13C04">
        <w:rPr>
          <w:rFonts w:ascii="Times New Roman" w:eastAsia="Times New Roman" w:hAnsi="Times New Roman" w:cs="Times New Roman"/>
          <w:sz w:val="24"/>
          <w:szCs w:val="24"/>
          <w:lang w:eastAsia="en-GB"/>
        </w:rPr>
        <w:t>: miscarriage, pre-term labour, pre-eclampsia, congenital malformations, macrosomia, and a worsening of diabetic complications."</w:t>
      </w:r>
    </w:p>
    <w:p w14:paraId="6BD78231" w14:textId="77777777" w:rsidR="00F13C04" w:rsidRPr="00F13C04" w:rsidRDefault="00F13C04" w:rsidP="00F13C04">
      <w:pPr>
        <w:numPr>
          <w:ilvl w:val="0"/>
          <w:numId w:val="2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Explains the risks and management of diabetes during pregnancy.</w:t>
      </w:r>
    </w:p>
    <w:p w14:paraId="45AA7B99"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E715E57">
          <v:rect id="_x0000_i1491" style="width:0;height:1.5pt" o:hralign="center" o:hrstd="t" o:hrnoshade="t" o:hr="t" fillcolor="#0a0a0a" stroked="f"/>
        </w:pict>
      </w:r>
    </w:p>
    <w:p w14:paraId="385488B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14: Hypoglycaemia</w:t>
      </w:r>
    </w:p>
    <w:p w14:paraId="1E0D3F5A" w14:textId="77777777" w:rsidR="00F13C04" w:rsidRPr="00F13C04" w:rsidRDefault="00F13C04" w:rsidP="00F13C04">
      <w:pPr>
        <w:numPr>
          <w:ilvl w:val="0"/>
          <w:numId w:val="2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"Hypoglycaemia: Commonest endocrine emergency. Prompt diagnosis and treatment essential—brain damage &amp; death can occur if severe or prolonged. Definition: Plasma glucose &lt;3mmol/L."</w:t>
      </w:r>
    </w:p>
    <w:p w14:paraId="7D4430FD" w14:textId="77777777" w:rsidR="00F13C04" w:rsidRPr="00F13C04" w:rsidRDefault="00F13C04" w:rsidP="00F13C04">
      <w:pPr>
        <w:numPr>
          <w:ilvl w:val="0"/>
          <w:numId w:val="2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Defines hypoglycaemia and its emergency management.</w:t>
      </w:r>
    </w:p>
    <w:p w14:paraId="3C185D2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E3D3428">
          <v:rect id="_x0000_i1492" style="width:0;height:1.5pt" o:hralign="center" o:hrstd="t" o:hrnoshade="t" o:hr="t" fillcolor="#0a0a0a" stroked="f"/>
        </w:pict>
      </w:r>
    </w:p>
    <w:p w14:paraId="0DBBB6E8"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15: Insulinoma</w:t>
      </w:r>
    </w:p>
    <w:p w14:paraId="7564AC28" w14:textId="77777777" w:rsidR="00F13C04" w:rsidRPr="00F13C04" w:rsidRDefault="00F13C04" w:rsidP="00F13C04">
      <w:pPr>
        <w:numPr>
          <w:ilvl w:val="0"/>
          <w:numId w:val="2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xml:space="preserve">: "Insulinoma: This </w:t>
      </w:r>
      <w:proofErr w:type="gramStart"/>
      <w:r w:rsidRPr="00F13C04">
        <w:rPr>
          <w:rFonts w:ascii="Times New Roman" w:eastAsia="Times New Roman" w:hAnsi="Times New Roman" w:cs="Times New Roman"/>
          <w:sz w:val="24"/>
          <w:szCs w:val="24"/>
          <w:lang w:eastAsia="en-GB"/>
        </w:rPr>
        <w:t>often benign</w:t>
      </w:r>
      <w:proofErr w:type="gramEnd"/>
      <w:r w:rsidRPr="00F13C04">
        <w:rPr>
          <w:rFonts w:ascii="Times New Roman" w:eastAsia="Times New Roman" w:hAnsi="Times New Roman" w:cs="Times New Roman"/>
          <w:sz w:val="24"/>
          <w:szCs w:val="24"/>
          <w:lang w:eastAsia="en-GB"/>
        </w:rPr>
        <w:t xml:space="preserve"> pancreatic islet cell tumour is sporadic or seen with MEN-1. It presents as fasting hypoglycaemia, with Whipple’s triad: </w:t>
      </w:r>
      <w:r w:rsidRPr="00F13C04">
        <w:rPr>
          <w:rFonts w:ascii="Times New Roman" w:eastAsia="Times New Roman" w:hAnsi="Times New Roman" w:cs="Times New Roman"/>
          <w:sz w:val="24"/>
          <w:szCs w:val="24"/>
          <w:lang w:eastAsia="en-GB"/>
        </w:rPr>
        <w:lastRenderedPageBreak/>
        <w:t>symptoms associated with fasting or exercise, recorded hypoglycaemia with symptoms, symptoms relieved with glucose."</w:t>
      </w:r>
    </w:p>
    <w:p w14:paraId="322D7E7B" w14:textId="77777777" w:rsidR="00F13C04" w:rsidRPr="00F13C04" w:rsidRDefault="00F13C04" w:rsidP="00F13C04">
      <w:pPr>
        <w:numPr>
          <w:ilvl w:val="0"/>
          <w:numId w:val="2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Purpose</w:t>
      </w:r>
      <w:r w:rsidRPr="00F13C04">
        <w:rPr>
          <w:rFonts w:ascii="Times New Roman" w:eastAsia="Times New Roman" w:hAnsi="Times New Roman" w:cs="Times New Roman"/>
          <w:sz w:val="24"/>
          <w:szCs w:val="24"/>
          <w:lang w:eastAsia="en-GB"/>
        </w:rPr>
        <w:t>: Describes insulinoma and its diagnostic criteria.</w:t>
      </w:r>
    </w:p>
    <w:p w14:paraId="1D9745C5" w14:textId="07997F07" w:rsidR="007C7AFF" w:rsidRPr="00F13C04" w:rsidRDefault="007C7AFF" w:rsidP="00F13C04"/>
    <w:sectPr w:rsidR="007C7AFF" w:rsidRPr="00F13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393"/>
    <w:multiLevelType w:val="multilevel"/>
    <w:tmpl w:val="BF1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0491D"/>
    <w:multiLevelType w:val="multilevel"/>
    <w:tmpl w:val="269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45AF"/>
    <w:multiLevelType w:val="multilevel"/>
    <w:tmpl w:val="2DD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96CB5"/>
    <w:multiLevelType w:val="multilevel"/>
    <w:tmpl w:val="5C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7EB9"/>
    <w:multiLevelType w:val="multilevel"/>
    <w:tmpl w:val="A8F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E26D2"/>
    <w:multiLevelType w:val="multilevel"/>
    <w:tmpl w:val="203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57DC"/>
    <w:multiLevelType w:val="multilevel"/>
    <w:tmpl w:val="B84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3686F"/>
    <w:multiLevelType w:val="multilevel"/>
    <w:tmpl w:val="4AF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6345B"/>
    <w:multiLevelType w:val="multilevel"/>
    <w:tmpl w:val="A0F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61861"/>
    <w:multiLevelType w:val="multilevel"/>
    <w:tmpl w:val="DDC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22AD9"/>
    <w:multiLevelType w:val="multilevel"/>
    <w:tmpl w:val="DDE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B4BD6"/>
    <w:multiLevelType w:val="multilevel"/>
    <w:tmpl w:val="165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D7E6D"/>
    <w:multiLevelType w:val="multilevel"/>
    <w:tmpl w:val="D9C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F1BCD"/>
    <w:multiLevelType w:val="multilevel"/>
    <w:tmpl w:val="94A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A2497"/>
    <w:multiLevelType w:val="multilevel"/>
    <w:tmpl w:val="C06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A20A1"/>
    <w:multiLevelType w:val="multilevel"/>
    <w:tmpl w:val="D3A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A1F0F"/>
    <w:multiLevelType w:val="multilevel"/>
    <w:tmpl w:val="879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C6BCA"/>
    <w:multiLevelType w:val="multilevel"/>
    <w:tmpl w:val="EB8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C2D65"/>
    <w:multiLevelType w:val="multilevel"/>
    <w:tmpl w:val="8C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96421"/>
    <w:multiLevelType w:val="multilevel"/>
    <w:tmpl w:val="1DC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376B7"/>
    <w:multiLevelType w:val="multilevel"/>
    <w:tmpl w:val="3E3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C56B9"/>
    <w:multiLevelType w:val="multilevel"/>
    <w:tmpl w:val="943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C1C66"/>
    <w:multiLevelType w:val="multilevel"/>
    <w:tmpl w:val="6C4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66D1F"/>
    <w:multiLevelType w:val="multilevel"/>
    <w:tmpl w:val="2BC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B4F00"/>
    <w:multiLevelType w:val="multilevel"/>
    <w:tmpl w:val="F43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E7DF7"/>
    <w:multiLevelType w:val="multilevel"/>
    <w:tmpl w:val="6CC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9125">
    <w:abstractNumId w:val="20"/>
  </w:num>
  <w:num w:numId="2" w16cid:durableId="38557934">
    <w:abstractNumId w:val="24"/>
  </w:num>
  <w:num w:numId="3" w16cid:durableId="80103519">
    <w:abstractNumId w:val="18"/>
  </w:num>
  <w:num w:numId="4" w16cid:durableId="37240975">
    <w:abstractNumId w:val="8"/>
  </w:num>
  <w:num w:numId="5" w16cid:durableId="2132044027">
    <w:abstractNumId w:val="19"/>
  </w:num>
  <w:num w:numId="6" w16cid:durableId="1076437066">
    <w:abstractNumId w:val="10"/>
  </w:num>
  <w:num w:numId="7" w16cid:durableId="2026711358">
    <w:abstractNumId w:val="16"/>
  </w:num>
  <w:num w:numId="8" w16cid:durableId="2103640385">
    <w:abstractNumId w:val="2"/>
  </w:num>
  <w:num w:numId="9" w16cid:durableId="1470515868">
    <w:abstractNumId w:val="14"/>
  </w:num>
  <w:num w:numId="10" w16cid:durableId="212235170">
    <w:abstractNumId w:val="1"/>
  </w:num>
  <w:num w:numId="11" w16cid:durableId="966279132">
    <w:abstractNumId w:val="17"/>
  </w:num>
  <w:num w:numId="12" w16cid:durableId="632365675">
    <w:abstractNumId w:val="9"/>
  </w:num>
  <w:num w:numId="13" w16cid:durableId="248085112">
    <w:abstractNumId w:val="7"/>
  </w:num>
  <w:num w:numId="14" w16cid:durableId="879320002">
    <w:abstractNumId w:val="3"/>
  </w:num>
  <w:num w:numId="15" w16cid:durableId="920455377">
    <w:abstractNumId w:val="25"/>
  </w:num>
  <w:num w:numId="16" w16cid:durableId="1606499402">
    <w:abstractNumId w:val="21"/>
  </w:num>
  <w:num w:numId="17" w16cid:durableId="298531855">
    <w:abstractNumId w:val="0"/>
  </w:num>
  <w:num w:numId="18" w16cid:durableId="271978360">
    <w:abstractNumId w:val="12"/>
  </w:num>
  <w:num w:numId="19" w16cid:durableId="1903591241">
    <w:abstractNumId w:val="5"/>
  </w:num>
  <w:num w:numId="20" w16cid:durableId="1023627578">
    <w:abstractNumId w:val="15"/>
  </w:num>
  <w:num w:numId="21" w16cid:durableId="1034504587">
    <w:abstractNumId w:val="22"/>
  </w:num>
  <w:num w:numId="22" w16cid:durableId="161436872">
    <w:abstractNumId w:val="4"/>
  </w:num>
  <w:num w:numId="23" w16cid:durableId="2034573171">
    <w:abstractNumId w:val="13"/>
  </w:num>
  <w:num w:numId="24" w16cid:durableId="469906978">
    <w:abstractNumId w:val="11"/>
  </w:num>
  <w:num w:numId="25" w16cid:durableId="922182186">
    <w:abstractNumId w:val="23"/>
  </w:num>
  <w:num w:numId="26" w16cid:durableId="431239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C3"/>
    <w:rsid w:val="002A3CBE"/>
    <w:rsid w:val="006778AF"/>
    <w:rsid w:val="00770258"/>
    <w:rsid w:val="007C7AFF"/>
    <w:rsid w:val="00883A45"/>
    <w:rsid w:val="00897839"/>
    <w:rsid w:val="00DC1DC3"/>
    <w:rsid w:val="00F13C04"/>
    <w:rsid w:val="00F73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67D6"/>
  <w15:chartTrackingRefBased/>
  <w15:docId w15:val="{53EEFAC5-865E-455D-B18C-030923B7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C3"/>
    <w:rPr>
      <w:rFonts w:eastAsiaTheme="majorEastAsia" w:cstheme="majorBidi"/>
      <w:color w:val="272727" w:themeColor="text1" w:themeTint="D8"/>
    </w:rPr>
  </w:style>
  <w:style w:type="paragraph" w:styleId="Title">
    <w:name w:val="Title"/>
    <w:basedOn w:val="Normal"/>
    <w:next w:val="Normal"/>
    <w:link w:val="TitleChar"/>
    <w:uiPriority w:val="10"/>
    <w:qFormat/>
    <w:rsid w:val="00DC1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DC3"/>
    <w:pPr>
      <w:spacing w:before="160"/>
      <w:jc w:val="center"/>
    </w:pPr>
    <w:rPr>
      <w:i/>
      <w:iCs/>
      <w:color w:val="404040" w:themeColor="text1" w:themeTint="BF"/>
    </w:rPr>
  </w:style>
  <w:style w:type="character" w:customStyle="1" w:styleId="QuoteChar">
    <w:name w:val="Quote Char"/>
    <w:basedOn w:val="DefaultParagraphFont"/>
    <w:link w:val="Quote"/>
    <w:uiPriority w:val="29"/>
    <w:rsid w:val="00DC1DC3"/>
    <w:rPr>
      <w:i/>
      <w:iCs/>
      <w:color w:val="404040" w:themeColor="text1" w:themeTint="BF"/>
    </w:rPr>
  </w:style>
  <w:style w:type="paragraph" w:styleId="ListParagraph">
    <w:name w:val="List Paragraph"/>
    <w:basedOn w:val="Normal"/>
    <w:uiPriority w:val="34"/>
    <w:qFormat/>
    <w:rsid w:val="00DC1DC3"/>
    <w:pPr>
      <w:ind w:left="720"/>
      <w:contextualSpacing/>
    </w:pPr>
  </w:style>
  <w:style w:type="character" w:styleId="IntenseEmphasis">
    <w:name w:val="Intense Emphasis"/>
    <w:basedOn w:val="DefaultParagraphFont"/>
    <w:uiPriority w:val="21"/>
    <w:qFormat/>
    <w:rsid w:val="00DC1DC3"/>
    <w:rPr>
      <w:i/>
      <w:iCs/>
      <w:color w:val="0F4761" w:themeColor="accent1" w:themeShade="BF"/>
    </w:rPr>
  </w:style>
  <w:style w:type="paragraph" w:styleId="IntenseQuote">
    <w:name w:val="Intense Quote"/>
    <w:basedOn w:val="Normal"/>
    <w:next w:val="Normal"/>
    <w:link w:val="IntenseQuoteChar"/>
    <w:uiPriority w:val="30"/>
    <w:qFormat/>
    <w:rsid w:val="00DC1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DC3"/>
    <w:rPr>
      <w:i/>
      <w:iCs/>
      <w:color w:val="0F4761" w:themeColor="accent1" w:themeShade="BF"/>
    </w:rPr>
  </w:style>
  <w:style w:type="character" w:styleId="IntenseReference">
    <w:name w:val="Intense Reference"/>
    <w:basedOn w:val="DefaultParagraphFont"/>
    <w:uiPriority w:val="32"/>
    <w:qFormat/>
    <w:rsid w:val="00DC1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Taimoor</dc:creator>
  <cp:keywords/>
  <dc:description/>
  <cp:lastModifiedBy>Muhammad Taimoor</cp:lastModifiedBy>
  <cp:revision>2</cp:revision>
  <dcterms:created xsi:type="dcterms:W3CDTF">2025-08-20T13:31:00Z</dcterms:created>
  <dcterms:modified xsi:type="dcterms:W3CDTF">2025-08-20T13:31:00Z</dcterms:modified>
</cp:coreProperties>
</file>