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05.png" ContentType="image/png"/>
  <Override PartName="/word/media/rId157.png" ContentType="image/png"/>
  <Override PartName="/word/media/rId146.png" ContentType="image/png"/>
  <Override PartName="/word/media/rId113.png" ContentType="image/png"/>
  <Override PartName="/word/media/rId133.png" ContentType="image/png"/>
  <Override PartName="/word/media/rId137.png" ContentType="image/png"/>
  <Override PartName="/word/media/rId129.png" ContentType="image/png"/>
  <Override PartName="/word/media/rId141.png" ContentType="image/png"/>
  <Override PartName="/word/media/rId162.png" ContentType="image/png"/>
  <Override PartName="/word/media/rId154.png" ContentType="image/png"/>
  <Override PartName="/word/media/rId150.png" ContentType="image/png"/>
  <Override PartName="/word/media/rId100.png" ContentType="image/png"/>
  <Override PartName="/word/media/rId165.png" ContentType="image/png"/>
  <Override PartName="/word/media/rId124.png" ContentType="image/png"/>
  <Override PartName="/word/media/rId96.png" ContentType="image/png"/>
  <Override PartName="/word/media/rId120.png" ContentType="image/png"/>
  <Override PartName="/word/media/rId116.png" ContentType="image/png"/>
  <Override PartName="/word/media/rId109.png" ContentType="image/png"/>
  <Override PartName="/word/media/image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Stabilization to Transformation</w:t>
      </w:r>
    </w:p>
    <w:p>
      <w:pPr>
        <w:pStyle w:val="Subtitle"/>
      </w:pPr>
      <w:r>
        <w:t xml:space="preserve">A Growth Diagnostics Brief on Pakistan</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5" w:name="executive-summary"/>
    <w:p>
      <w:pPr>
        <w:pStyle w:val="Heading1"/>
      </w:pPr>
      <w:r>
        <w:rPr>
          <w:rStyle w:val="SectionNumber"/>
        </w:rPr>
        <w:t xml:space="preserve">1</w:t>
      </w:r>
      <w:r>
        <w:tab/>
      </w:r>
      <w:r>
        <w:t xml:space="preserve">Executive Summary</w:t>
      </w:r>
    </w:p>
    <w:p>
      <w:pPr>
        <w:pStyle w:val="FirstParagraph"/>
      </w:pPr>
      <w:r>
        <w:t xml:space="preserve">Pakistan stands at a critical juncture. After decades of boom-bust cycles driven by recurring balance-of-payments crises, the country has entered a new stabilization phase under its latest IMF program. But stabilization alone is not a growth strategy. Without a deliberate shift toward export-led growth and productive diversification, Pakistan risks returning to the same pattern that has kept its per capita income stagnant relative to peers.</w:t>
      </w:r>
    </w:p>
    <w:p>
      <w:pPr>
        <w:pStyle w:val="BodyText"/>
      </w:pPr>
      <w:r>
        <w:t xml:space="preserve">This brief presents a diagnostic overview of Pakistan’s macroeconomic trajectory, drawing on data from the IMF, World Bank, and the Atlas of Economic Complexity. It accompanies the Growth Lab’s proposed 18-month engagement with the Ministry of Finance.</w:t>
      </w:r>
    </w:p>
    <w:tbl>
      <w:tblPr>
        <w:tblW w:w="5000" w:type="pct"/>
        <w:tblBorders>
          <w:top w:val="none" w:sz="0" w:space="0" w:color="auto"/>
          <w:left w:val="single" w:sz="24" w:space="0" w:color="266798"/>
          <w:bottom w:val="none" w:sz="0" w:space="0" w:color="auto"/>
          <w:right w:val="none" w:sz="0" w:space="0" w:color="auto"/>
        </w:tblBorders>
        <w:tblCellMar>
          <w:top w:w="173" w:type="dxa"/>
          <w:left w:w="233" w:type="dxa"/>
          <w:bottom w:w="173" w:type="dxa"/>
          <w:right w:w="173" w:type="dxa"/>
        </w:tblCellMar>
      </w:tblPr>
      <w:tblGrid>
        <w:gridCol w:w="9360"/>
      </w:tblGrid>
      <w:tr>
        <w:tc>
          <w:tcPr>
            <w:shd w:val="clear" w:color="auto" w:fill="F3F3F3"/>
          </w:tcPr>
          <w:p>
            <w:pPr>
              <w:spacing w:after="120"/>
            </w:pPr>
            <w:r>
              <w:rPr>
                <w:rFonts w:ascii="Source Sans 3" w:hAnsi="Source Sans 3"/>
                <w:b/>
                <w:bCs/>
                <w:color w:val="266798"/>
              </w:rPr>
              <w:t xml:space="preserve">Key Finding</w:t>
            </w:r>
          </w:p>
          <w:p>
            <w:r>
              <w:t xml:space="preserve">Pakistan’s</w:t>
            </w:r>
            <w:r>
              <w:t xml:space="preserve"> </w:t>
            </w:r>
            <w:r>
              <w:t xml:space="preserve">growth</w:t>
            </w:r>
            <w:r>
              <w:t xml:space="preserve"> </w:t>
            </w:r>
            <w:r>
              <w:t xml:space="preserve">above</w:t>
            </w:r>
            <w:r>
              <w:t xml:space="preserve"> </w:t>
            </w:r>
            <w:r>
              <w:t xml:space="preserve">2%</w:t>
            </w:r>
            <w:r>
              <w:t xml:space="preserve"> </w:t>
            </w:r>
            <w:r>
              <w:t xml:space="preserve">per</w:t>
            </w:r>
            <w:r>
              <w:t xml:space="preserve"> </w:t>
            </w:r>
            <w:r>
              <w:t xml:space="preserve">capita</w:t>
            </w:r>
            <w:r>
              <w:t xml:space="preserve"> </w:t>
            </w:r>
            <w:r>
              <w:t xml:space="preserve">has</w:t>
            </w:r>
            <w:r>
              <w:t xml:space="preserve"> </w:t>
            </w:r>
            <w:r>
              <w:t xml:space="preserve">historically</w:t>
            </w:r>
            <w:r>
              <w:t xml:space="preserve"> </w:t>
            </w:r>
            <w:r>
              <w:t xml:space="preserve">been</w:t>
            </w:r>
            <w:r>
              <w:t xml:space="preserve"> </w:t>
            </w:r>
            <w:r>
              <w:t xml:space="preserve">associated</w:t>
            </w:r>
            <w:r>
              <w:t xml:space="preserve"> </w:t>
            </w:r>
            <w:r>
              <w:t xml:space="preserve">with</w:t>
            </w:r>
            <w:r>
              <w:t xml:space="preserve"> </w:t>
            </w:r>
            <w:r>
              <w:t xml:space="preserve">current</w:t>
            </w:r>
            <w:r>
              <w:t xml:space="preserve"> </w:t>
            </w:r>
            <w:r>
              <w:t xml:space="preserve">account</w:t>
            </w:r>
            <w:r>
              <w:t xml:space="preserve"> </w:t>
            </w:r>
            <w:r>
              <w:t xml:space="preserve">deterioration</w:t>
            </w:r>
            <w:r>
              <w:t xml:space="preserve"> </w:t>
            </w:r>
            <w:r>
              <w:t xml:space="preserve">—</w:t>
            </w:r>
            <w:r>
              <w:t xml:space="preserve"> </w:t>
            </w:r>
            <w:r>
              <w:t xml:space="preserve">a</w:t>
            </w:r>
            <w:r>
              <w:t xml:space="preserve"> </w:t>
            </w:r>
            <w:r>
              <w:t xml:space="preserve">structural</w:t>
            </w:r>
            <w:r>
              <w:t xml:space="preserve"> </w:t>
            </w:r>
            <w:r>
              <w:t xml:space="preserve">constraint</w:t>
            </w:r>
            <w:r>
              <w:t xml:space="preserve"> </w:t>
            </w:r>
            <w:r>
              <w:t xml:space="preserve">that</w:t>
            </w:r>
            <w:r>
              <w:t xml:space="preserve"> </w:t>
            </w:r>
            <w:r>
              <w:t xml:space="preserve">can</w:t>
            </w:r>
            <w:r>
              <w:t xml:space="preserve"> </w:t>
            </w:r>
            <w:r>
              <w:t xml:space="preserve">only</w:t>
            </w:r>
            <w:r>
              <w:t xml:space="preserve"> </w:t>
            </w:r>
            <w:r>
              <w:t xml:space="preserve">be</w:t>
            </w:r>
            <w:r>
              <w:t xml:space="preserve"> </w:t>
            </w:r>
            <w:r>
              <w:t xml:space="preserve">relaxed</w:t>
            </w:r>
            <w:r>
              <w:t xml:space="preserve"> </w:t>
            </w:r>
            <w:r>
              <w:t xml:space="preserve">through</w:t>
            </w:r>
            <w:r>
              <w:t xml:space="preserve"> </w:t>
            </w:r>
            <w:r>
              <w:t xml:space="preserve">export</w:t>
            </w:r>
            <w:r>
              <w:t xml:space="preserve"> </w:t>
            </w:r>
            <w:r>
              <w:t xml:space="preserve">diversification</w:t>
            </w:r>
            <w:r>
              <w:t xml:space="preserve"> </w:t>
            </w:r>
            <w:r>
              <w:t xml:space="preserve">and</w:t>
            </w:r>
            <w:r>
              <w:t xml:space="preserve"> </w:t>
            </w:r>
            <w:r>
              <w:t xml:space="preserve">a</w:t>
            </w:r>
            <w:r>
              <w:t xml:space="preserve"> </w:t>
            </w:r>
            <w:r>
              <w:t xml:space="preserve">coherent</w:t>
            </w:r>
            <w:r>
              <w:t xml:space="preserve"> </w:t>
            </w:r>
            <w:r>
              <w:t xml:space="preserve">macro-fiscal</w:t>
            </w:r>
            <w:r>
              <w:t xml:space="preserve"> </w:t>
            </w:r>
            <w:r>
              <w:t xml:space="preserve">framework.</w:t>
            </w:r>
          </w:p>
        </w:tc>
      </w:tr>
    </w:tbl>
    <w:p>
      <w:pPr>
        <w:pStyle w:val="BodyText"/>
      </w:pPr>
      <w:r>
        <w:t xml:space="preserve">The diagnostic identifies two interrelated drivers of Pakistan’s growth speed limit —</w:t>
      </w:r>
      <w:r>
        <w:t xml:space="preserve"> </w:t>
      </w:r>
      <w:r>
        <w:rPr>
          <w:b/>
          <w:bCs/>
        </w:rPr>
        <w:t xml:space="preserve">chronic fiscal imbalances</w:t>
      </w:r>
      <w:r>
        <w:t xml:space="preserve"> </w:t>
      </w:r>
      <w:r>
        <w:t xml:space="preserve">and</w:t>
      </w:r>
      <w:r>
        <w:t xml:space="preserve"> </w:t>
      </w:r>
      <w:r>
        <w:rPr>
          <w:b/>
          <w:bCs/>
        </w:rPr>
        <w:t xml:space="preserve">lagging exports</w:t>
      </w:r>
      <w:r>
        <w:t xml:space="preserve"> </w:t>
      </w:r>
      <w:r>
        <w:t xml:space="preserve">— and proposes an engagement structured around both.</w:t>
      </w:r>
    </w:p>
    <w:bookmarkEnd w:id="95"/>
    <w:bookmarkStart w:id="104" w:name="the-growth-speed-limit"/>
    <w:p>
      <w:pPr>
        <w:pStyle w:val="Heading1"/>
      </w:pPr>
      <w:r>
        <w:rPr>
          <w:rStyle w:val="SectionNumber"/>
        </w:rPr>
        <w:t xml:space="preserve">2</w:t>
      </w:r>
      <w:r>
        <w:tab/>
      </w:r>
      <w:r>
        <w:t xml:space="preserve">The Growth Speed Limit</w:t>
      </w:r>
    </w:p>
    <w:bookmarkStart w:id="99" w:name="boom-bust-cycles-and-foreign-reserves"/>
    <w:p>
      <w:pPr>
        <w:pStyle w:val="Heading2"/>
      </w:pPr>
      <w:r>
        <w:rPr>
          <w:rStyle w:val="SectionNumber"/>
        </w:rPr>
        <w:t xml:space="preserve">2.1</w:t>
      </w:r>
      <w:r>
        <w:tab/>
      </w:r>
      <w:r>
        <w:t xml:space="preserve">Boom-bust cycles and foreign reserves</w:t>
      </w:r>
    </w:p>
    <w:p>
      <w:pPr>
        <w:pStyle w:val="FirstParagraph"/>
      </w:pPr>
      <w:r>
        <w:t xml:space="preserve">Pakistan’s foreign exchange reserves have repeatedly fallen below the three-month-of-imports threshold considered the minimum for macroeconomic stability</w:t>
      </w:r>
      <w:r>
        <w:t xml:space="preserve"> </w:t>
      </w:r>
      <w:r>
        <w:t xml:space="preserve">(International Monetary Fund, 2025)</w:t>
      </w:r>
      <w:r>
        <w:t xml:space="preserve">. Each episode triggers emergency borrowing, IMF programs, and contractionary adjustment. Since 1990, Pakistan has entered at least seven IMF programs, each breaking the growth cycle before productive momentum can build (fig. 1).</w:t>
      </w:r>
    </w:p>
    <w:p>
      <w:pPr>
        <w:pStyle w:val="FigureTitle"/>
      </w:pPr>
      <w:r>
        <w:t xml:space="preserve">Figure 1: Reserves repeatedly fall below the three-month import threshold. // Foreign exchange reserves in months of imports, Pakistan</w:t>
      </w:r>
    </w:p>
    <w:p>
      <w:pPr>
        <w:pStyle w:val="FigureImage"/>
      </w:pPr>
      <w:r>
        <w:drawing>
          <wp:inline>
            <wp:extent cx="5943600" cy="3657600"/>
            <wp:effectExtent b="0" l="0" r="0" t="0"/>
            <wp:docPr descr="Figure 1: Reserves repeatedly fall below the three-month import threshold. // Foreign exchange reserves in months of imports, Pakistan" title="" id="97" name="Picture"/>
            <a:graphic>
              <a:graphicData uri="http://schemas.openxmlformats.org/drawingml/2006/picture">
                <pic:pic>
                  <pic:nvPicPr>
                    <pic:cNvPr descr="imgs/fm_meeting/reserves-time-series.png" id="98" name="Picture"/>
                    <pic:cNvPicPr>
                      <a:picLocks noChangeArrowheads="1" noChangeAspect="1"/>
                    </pic:cNvPicPr>
                  </pic:nvPicPr>
                  <pic:blipFill>
                    <a:blip r:embed="rId96"/>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World Bank WDI</w:t>
      </w:r>
      <w:r>
        <w:t xml:space="preserve"> </w:t>
      </w:r>
      <w:r>
        <w:t xml:space="preserve">(World Bank, 2025)</w:t>
      </w:r>
      <w:r>
        <w:t xml:space="preserve">.</w:t>
      </w:r>
    </w:p>
    <w:bookmarkEnd w:id="99"/>
    <w:bookmarkStart w:id="103" w:name="Xec172e6cf5a3e063a9b0d46c79f76fc5cc7e584"/>
    <w:p>
      <w:pPr>
        <w:pStyle w:val="Heading2"/>
      </w:pPr>
      <w:r>
        <w:rPr>
          <w:rStyle w:val="SectionNumber"/>
        </w:rPr>
        <w:t xml:space="preserve">2.2</w:t>
      </w:r>
      <w:r>
        <w:tab/>
      </w:r>
      <w:r>
        <w:t xml:space="preserve">Growth and the current account constraint</w:t>
      </w:r>
    </w:p>
    <w:p>
      <w:pPr>
        <w:pStyle w:val="FirstParagraph"/>
      </w:pPr>
      <w:r>
        <w:t xml:space="preserve">The scatter plot in fig. 2 illustrates the core structural problem: years of higher per capita GDP growth are systematically associated with a worsening current account balance. This</w:t>
      </w:r>
      <w:r>
        <w:t xml:space="preserve"> </w:t>
      </w:r>
      <w:r>
        <w:t xml:space="preserve">“growth–current account trade-off”</w:t>
      </w:r>
      <w:r>
        <w:t xml:space="preserve"> </w:t>
      </w:r>
      <w:r>
        <w:t xml:space="preserve">is not inevitable — countries that diversify their exports can grow without generating unsustainable external deficits</w:t>
      </w:r>
      <w:r>
        <w:t xml:space="preserve"> </w:t>
      </w:r>
      <w:r>
        <w:t xml:space="preserve">(Hausmann, Hwang and Rodrik, 2007; Hausmann</w:t>
      </w:r>
      <w:r>
        <w:t xml:space="preserve"> </w:t>
      </w:r>
      <w:r>
        <w:rPr>
          <w:i/>
          <w:iCs/>
        </w:rPr>
        <w:t xml:space="preserve">et al.</w:t>
      </w:r>
      <w:r>
        <w:t xml:space="preserve">, 2016)</w:t>
      </w:r>
      <w:r>
        <w:t xml:space="preserve"> </w:t>
      </w:r>
      <w:r>
        <w:t xml:space="preserve">— but it has defined Pakistan’s economic trajectory for three decades.</w:t>
      </w:r>
    </w:p>
    <w:p>
      <w:pPr>
        <w:pStyle w:val="FigureTitle"/>
      </w:pPr>
      <w:r>
        <w:t xml:space="preserve">Figure 2: Faster growth comes with a worsening current account. // Annual GDP per capita growth vs. change in the current account balance, Pakistan</w:t>
      </w:r>
    </w:p>
    <w:p>
      <w:pPr>
        <w:pStyle w:val="FigureImage"/>
      </w:pPr>
      <w:r>
        <w:drawing>
          <wp:inline>
            <wp:extent cx="5943600" cy="3657600"/>
            <wp:effectExtent b="0" l="0" r="0" t="0"/>
            <wp:docPr descr="Figure 2: Faster growth comes with a worsening current account. // Annual GDP per capita growth vs. change in the current account balance, Pakistan" title="" id="101" name="Picture"/>
            <a:graphic>
              <a:graphicData uri="http://schemas.openxmlformats.org/drawingml/2006/picture">
                <pic:pic>
                  <pic:nvPicPr>
                    <pic:cNvPr descr="imgs/fm_meeting/gdp-growth-vs-cab-change.png" id="102" name="Picture"/>
                    <pic:cNvPicPr>
                      <a:picLocks noChangeArrowheads="1" noChangeAspect="1"/>
                    </pic:cNvPicPr>
                  </pic:nvPicPr>
                  <pic:blipFill>
                    <a:blip r:embed="rId100"/>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IMF WEO October 2025.</w:t>
      </w:r>
    </w:p>
    <w:tbl>
      <w:tblPr>
        <w:tblW w:w="5000" w:type="pct"/>
        <w:tblBorders>
          <w:top w:val="none" w:sz="0" w:space="0" w:color="auto"/>
          <w:left w:val="single" w:sz="24" w:space="0" w:color="266798"/>
          <w:bottom w:val="none" w:sz="0" w:space="0" w:color="auto"/>
          <w:right w:val="none" w:sz="0" w:space="0" w:color="auto"/>
        </w:tblBorders>
        <w:tblCellMar>
          <w:top w:w="173" w:type="dxa"/>
          <w:left w:w="233" w:type="dxa"/>
          <w:bottom w:w="173" w:type="dxa"/>
          <w:right w:w="173" w:type="dxa"/>
        </w:tblCellMar>
      </w:tblPr>
      <w:tblGrid>
        <w:gridCol w:w="9360"/>
      </w:tblGrid>
      <w:tr>
        <w:tc>
          <w:tcPr>
            <w:shd w:val="clear" w:color="auto" w:fill="F3F3F3"/>
          </w:tcPr>
          <w:p>
            <w:pPr>
              <w:spacing w:after="120"/>
            </w:pPr>
            <w:r>
              <w:rPr>
                <w:rFonts w:ascii="Source Sans 3" w:hAnsi="Source Sans 3"/>
                <w:b/>
                <w:bCs/>
                <w:color w:val="266798"/>
              </w:rPr>
              <w:t xml:space="preserve">Two Perspectives on the Speed Limit</w:t>
            </w:r>
          </w:p>
          <w:p>
            <w:r>
              <w:t xml:space="preserve">There</w:t>
            </w:r>
            <w:r>
              <w:t xml:space="preserve"> </w:t>
            </w:r>
            <w:r>
              <w:t xml:space="preserve">are</w:t>
            </w:r>
            <w:r>
              <w:t xml:space="preserve"> </w:t>
            </w:r>
            <w:r>
              <w:t xml:space="preserve">two</w:t>
            </w:r>
            <w:r>
              <w:t xml:space="preserve"> </w:t>
            </w:r>
            <w:r>
              <w:t xml:space="preserve">complementary</w:t>
            </w:r>
            <w:r>
              <w:t xml:space="preserve"> </w:t>
            </w:r>
            <w:r>
              <w:t xml:space="preserve">ways</w:t>
            </w:r>
            <w:r>
              <w:t xml:space="preserve"> </w:t>
            </w:r>
            <w:r>
              <w:t xml:space="preserve">to</w:t>
            </w:r>
            <w:r>
              <w:t xml:space="preserve"> </w:t>
            </w:r>
            <w:r>
              <w:t xml:space="preserve">understand</w:t>
            </w:r>
            <w:r>
              <w:t xml:space="preserve"> </w:t>
            </w:r>
            <w:r>
              <w:t xml:space="preserve">why</w:t>
            </w:r>
            <w:r>
              <w:t xml:space="preserve"> </w:t>
            </w:r>
            <w:r>
              <w:t xml:space="preserve">Pakistan’s</w:t>
            </w:r>
            <w:r>
              <w:t xml:space="preserve"> </w:t>
            </w:r>
            <w:r>
              <w:t xml:space="preserve">growth</w:t>
            </w:r>
            <w:r>
              <w:t xml:space="preserve"> </w:t>
            </w:r>
            <w:r>
              <w:t xml:space="preserve">hits</w:t>
            </w:r>
            <w:r>
              <w:t xml:space="preserve"> </w:t>
            </w:r>
            <w:r>
              <w:t xml:space="preserve">a</w:t>
            </w:r>
            <w:r>
              <w:t xml:space="preserve"> </w:t>
            </w:r>
            <w:r>
              <w:t xml:space="preserve">ceiling:</w:t>
            </w:r>
          </w:p>
          <w:p>
            <w:pPr>
              <w:pStyle w:val="ListNumber"/>
            </w:pPr>
            <w:r>
              <w:rPr>
                <w:b/>
                <w:bCs/>
              </w:rPr>
              <w:t xml:space="preserve">Fiscal</w:t>
            </w:r>
            <w:r>
              <w:t xml:space="preserve"> </w:t>
            </w:r>
            <w:r>
              <w:rPr>
                <w:b/>
                <w:bCs/>
              </w:rPr>
              <w:t xml:space="preserve">imbalances</w:t>
            </w:r>
            <w:r>
              <w:t xml:space="preserve"> </w:t>
            </w:r>
            <w:r>
              <w:t xml:space="preserve">—</w:t>
            </w:r>
            <w:r>
              <w:t xml:space="preserve"> </w:t>
            </w:r>
            <w:r>
              <w:t xml:space="preserve">Chronic</w:t>
            </w:r>
            <w:r>
              <w:t xml:space="preserve"> </w:t>
            </w:r>
            <w:r>
              <w:t xml:space="preserve">fiscal</w:t>
            </w:r>
            <w:r>
              <w:t xml:space="preserve"> </w:t>
            </w:r>
            <w:r>
              <w:t xml:space="preserve">deficits</w:t>
            </w:r>
            <w:r>
              <w:t xml:space="preserve"> </w:t>
            </w:r>
            <w:r>
              <w:t xml:space="preserve">drain</w:t>
            </w:r>
            <w:r>
              <w:t xml:space="preserve"> </w:t>
            </w:r>
            <w:r>
              <w:t xml:space="preserve">foreign</w:t>
            </w:r>
            <w:r>
              <w:t xml:space="preserve"> </w:t>
            </w:r>
            <w:r>
              <w:t xml:space="preserve">reserves</w:t>
            </w:r>
            <w:r>
              <w:t xml:space="preserve"> </w:t>
            </w:r>
            <w:r>
              <w:t xml:space="preserve">through</w:t>
            </w:r>
            <w:r>
              <w:t xml:space="preserve"> </w:t>
            </w:r>
            <w:r>
              <w:t xml:space="preserve">the</w:t>
            </w:r>
            <w:r>
              <w:t xml:space="preserve"> </w:t>
            </w:r>
            <w:r>
              <w:t xml:space="preserve">current</w:t>
            </w:r>
            <w:r>
              <w:t xml:space="preserve"> </w:t>
            </w:r>
            <w:r>
              <w:t xml:space="preserve">account,</w:t>
            </w:r>
            <w:r>
              <w:t xml:space="preserve"> </w:t>
            </w:r>
            <w:r>
              <w:t xml:space="preserve">forcing</w:t>
            </w:r>
            <w:r>
              <w:t xml:space="preserve"> </w:t>
            </w:r>
            <w:r>
              <w:t xml:space="preserve">periodic</w:t>
            </w:r>
            <w:r>
              <w:t xml:space="preserve"> </w:t>
            </w:r>
            <w:r>
              <w:t xml:space="preserve">stabilization.</w:t>
            </w:r>
          </w:p>
          <w:p>
            <w:pPr>
              <w:pStyle w:val="ListNumber"/>
            </w:pPr>
            <w:r>
              <w:rPr>
                <w:b/>
                <w:bCs/>
              </w:rPr>
              <w:t xml:space="preserve">Lagging</w:t>
            </w:r>
            <w:r>
              <w:t xml:space="preserve"> </w:t>
            </w:r>
            <w:r>
              <w:rPr>
                <w:b/>
                <w:bCs/>
              </w:rPr>
              <w:t xml:space="preserve">exports</w:t>
            </w:r>
            <w:r>
              <w:t xml:space="preserve"> </w:t>
            </w:r>
            <w:r>
              <w:t xml:space="preserve">—</w:t>
            </w:r>
            <w:r>
              <w:t xml:space="preserve"> </w:t>
            </w:r>
            <w:r>
              <w:t xml:space="preserve">A</w:t>
            </w:r>
            <w:r>
              <w:t xml:space="preserve"> </w:t>
            </w:r>
            <w:r>
              <w:t xml:space="preserve">narrow</w:t>
            </w:r>
            <w:r>
              <w:t xml:space="preserve"> </w:t>
            </w:r>
            <w:r>
              <w:t xml:space="preserve">and</w:t>
            </w:r>
            <w:r>
              <w:t xml:space="preserve"> </w:t>
            </w:r>
            <w:r>
              <w:t xml:space="preserve">declining</w:t>
            </w:r>
            <w:r>
              <w:t xml:space="preserve"> </w:t>
            </w:r>
            <w:r>
              <w:t xml:space="preserve">export</w:t>
            </w:r>
            <w:r>
              <w:t xml:space="preserve"> </w:t>
            </w:r>
            <w:r>
              <w:t xml:space="preserve">base</w:t>
            </w:r>
            <w:r>
              <w:t xml:space="preserve"> </w:t>
            </w:r>
            <w:r>
              <w:t xml:space="preserve">means</w:t>
            </w:r>
            <w:r>
              <w:t xml:space="preserve"> </w:t>
            </w:r>
            <w:r>
              <w:t xml:space="preserve">growth</w:t>
            </w:r>
            <w:r>
              <w:t xml:space="preserve"> </w:t>
            </w:r>
            <w:r>
              <w:t xml:space="preserve">in</w:t>
            </w:r>
            <w:r>
              <w:t xml:space="preserve"> </w:t>
            </w:r>
            <w:r>
              <w:t xml:space="preserve">domestic</w:t>
            </w:r>
            <w:r>
              <w:t xml:space="preserve"> </w:t>
            </w:r>
            <w:r>
              <w:t xml:space="preserve">demand</w:t>
            </w:r>
            <w:r>
              <w:t xml:space="preserve"> </w:t>
            </w:r>
            <w:r>
              <w:t xml:space="preserve">quickly</w:t>
            </w:r>
            <w:r>
              <w:t xml:space="preserve"> </w:t>
            </w:r>
            <w:r>
              <w:t xml:space="preserve">spills</w:t>
            </w:r>
            <w:r>
              <w:t xml:space="preserve"> </w:t>
            </w:r>
            <w:r>
              <w:t xml:space="preserve">into</w:t>
            </w:r>
            <w:r>
              <w:t xml:space="preserve"> </w:t>
            </w:r>
            <w:r>
              <w:t xml:space="preserve">imports</w:t>
            </w:r>
            <w:r>
              <w:t xml:space="preserve"> </w:t>
            </w:r>
            <w:r>
              <w:t xml:space="preserve">without</w:t>
            </w:r>
            <w:r>
              <w:t xml:space="preserve"> </w:t>
            </w:r>
            <w:r>
              <w:t xml:space="preserve">a</w:t>
            </w:r>
            <w:r>
              <w:t xml:space="preserve"> </w:t>
            </w:r>
            <w:r>
              <w:t xml:space="preserve">corresponding</w:t>
            </w:r>
            <w:r>
              <w:t xml:space="preserve"> </w:t>
            </w:r>
            <w:r>
              <w:t xml:space="preserve">rise</w:t>
            </w:r>
            <w:r>
              <w:t xml:space="preserve"> </w:t>
            </w:r>
            <w:r>
              <w:t xml:space="preserve">in</w:t>
            </w:r>
            <w:r>
              <w:t xml:space="preserve"> </w:t>
            </w:r>
            <w:r>
              <w:t xml:space="preserve">foreign</w:t>
            </w:r>
            <w:r>
              <w:t xml:space="preserve"> </w:t>
            </w:r>
            <w:r>
              <w:t xml:space="preserve">exchange</w:t>
            </w:r>
            <w:r>
              <w:t xml:space="preserve"> </w:t>
            </w:r>
            <w:r>
              <w:t xml:space="preserve">earnings.</w:t>
            </w:r>
          </w:p>
          <w:p>
            <w:r>
              <w:t xml:space="preserve">Both</w:t>
            </w:r>
            <w:r>
              <w:t xml:space="preserve"> </w:t>
            </w:r>
            <w:r>
              <w:t xml:space="preserve">perspectives</w:t>
            </w:r>
            <w:r>
              <w:t xml:space="preserve"> </w:t>
            </w:r>
            <w:r>
              <w:t xml:space="preserve">point</w:t>
            </w:r>
            <w:r>
              <w:t xml:space="preserve"> </w:t>
            </w:r>
            <w:r>
              <w:t xml:space="preserve">to</w:t>
            </w:r>
            <w:r>
              <w:t xml:space="preserve"> </w:t>
            </w:r>
            <w:r>
              <w:t xml:space="preserve">the</w:t>
            </w:r>
            <w:r>
              <w:t xml:space="preserve"> </w:t>
            </w:r>
            <w:r>
              <w:t xml:space="preserve">same</w:t>
            </w:r>
            <w:r>
              <w:t xml:space="preserve"> </w:t>
            </w:r>
            <w:r>
              <w:t xml:space="preserve">conclusion:</w:t>
            </w:r>
            <w:r>
              <w:t xml:space="preserve"> </w:t>
            </w:r>
            <w:r>
              <w:t xml:space="preserve">Pakistan</w:t>
            </w:r>
            <w:r>
              <w:t xml:space="preserve"> </w:t>
            </w:r>
            <w:r>
              <w:t xml:space="preserve">needs</w:t>
            </w:r>
            <w:r>
              <w:t xml:space="preserve"> </w:t>
            </w:r>
            <w:r>
              <w:t xml:space="preserve">both</w:t>
            </w:r>
            <w:r>
              <w:t xml:space="preserve"> </w:t>
            </w:r>
            <w:r>
              <w:t xml:space="preserve">a</w:t>
            </w:r>
            <w:r>
              <w:t xml:space="preserve"> </w:t>
            </w:r>
            <w:r>
              <w:t xml:space="preserve">new</w:t>
            </w:r>
            <w:r>
              <w:t xml:space="preserve"> </w:t>
            </w:r>
            <w:r>
              <w:t xml:space="preserve">macro-fiscal</w:t>
            </w:r>
            <w:r>
              <w:t xml:space="preserve"> </w:t>
            </w:r>
            <w:r>
              <w:t xml:space="preserve">framework</w:t>
            </w:r>
            <w:r>
              <w:t xml:space="preserve"> </w:t>
            </w:r>
            <w:r>
              <w:rPr>
                <w:i/>
                <w:iCs/>
              </w:rPr>
              <w:t xml:space="preserve">and</w:t>
            </w:r>
            <w:r>
              <w:t xml:space="preserve"> </w:t>
            </w:r>
            <w:r>
              <w:t xml:space="preserve">a</w:t>
            </w:r>
            <w:r>
              <w:t xml:space="preserve"> </w:t>
            </w:r>
            <w:r>
              <w:t xml:space="preserve">strategic</w:t>
            </w:r>
            <w:r>
              <w:t xml:space="preserve"> </w:t>
            </w:r>
            <w:r>
              <w:t xml:space="preserve">approach</w:t>
            </w:r>
            <w:r>
              <w:t xml:space="preserve"> </w:t>
            </w:r>
            <w:r>
              <w:t xml:space="preserve">to</w:t>
            </w:r>
            <w:r>
              <w:t xml:space="preserve"> </w:t>
            </w:r>
            <w:r>
              <w:t xml:space="preserve">exports.</w:t>
            </w:r>
          </w:p>
        </w:tc>
      </w:tr>
    </w:tbl>
    <w:bookmarkEnd w:id="103"/>
    <w:bookmarkEnd w:id="104"/>
    <w:bookmarkStart w:id="128" w:name="fiscal-imbalances"/>
    <w:p>
      <w:pPr>
        <w:pStyle w:val="Heading1"/>
      </w:pPr>
      <w:r>
        <w:rPr>
          <w:rStyle w:val="SectionNumber"/>
        </w:rPr>
        <w:t xml:space="preserve">3</w:t>
      </w:r>
      <w:r>
        <w:tab/>
      </w:r>
      <w:r>
        <w:t xml:space="preserve">Fiscal Imbalances</w:t>
      </w:r>
    </w:p>
    <w:bookmarkStart w:id="108" w:name="current-account-decomposition"/>
    <w:p>
      <w:pPr>
        <w:pStyle w:val="Heading2"/>
      </w:pPr>
      <w:r>
        <w:rPr>
          <w:rStyle w:val="SectionNumber"/>
        </w:rPr>
        <w:t xml:space="preserve">3.1</w:t>
      </w:r>
      <w:r>
        <w:tab/>
      </w:r>
      <w:r>
        <w:t xml:space="preserve">Current account decomposition</w:t>
      </w:r>
    </w:p>
    <w:p>
      <w:pPr>
        <w:pStyle w:val="FirstParagraph"/>
      </w:pPr>
      <w:r>
        <w:t xml:space="preserve">The current account balance can be decomposed into its fiscal and private sector components. Pakistan’s data reveal that the fiscal balance is the primary driver of current account movements — when fiscal deficits widen, the current account deteriorates almost mechanically.</w:t>
      </w:r>
    </w:p>
    <w:p>
      <w:pPr>
        <w:pStyle w:val="FigureTitle"/>
      </w:pPr>
      <w:r>
        <w:t xml:space="preserve">Figure 3: The fiscal balance drives the current account. // Current account decomposed into fiscal and private components, percent of GDP</w:t>
      </w:r>
    </w:p>
    <w:p>
      <w:pPr>
        <w:pStyle w:val="FigureImage"/>
      </w:pPr>
      <w:r>
        <w:drawing>
          <wp:inline>
            <wp:extent cx="5943600" cy="3657600"/>
            <wp:effectExtent b="0" l="0" r="0" t="0"/>
            <wp:docPr descr="Figure 3: The fiscal balance drives the current account. // Current account decomposed into fiscal and private components, percent of GDP" title="" id="106" name="Picture"/>
            <a:graphic>
              <a:graphicData uri="http://schemas.openxmlformats.org/drawingml/2006/picture">
                <pic:pic>
                  <pic:nvPicPr>
                    <pic:cNvPr descr="imgs/fm_meeting/ca-decomposition.png" id="107" name="Picture"/>
                    <pic:cNvPicPr>
                      <a:picLocks noChangeArrowheads="1" noChangeAspect="1"/>
                    </pic:cNvPicPr>
                  </pic:nvPicPr>
                  <pic:blipFill>
                    <a:blip r:embed="rId105"/>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IMF WEO October 2025.</w:t>
      </w:r>
    </w:p>
    <w:bookmarkEnd w:id="108"/>
    <w:bookmarkStart w:id="112" w:name="X3b024749d385eeaae4718fdba9f7dab3abf7e59"/>
    <w:p>
      <w:pPr>
        <w:pStyle w:val="Heading2"/>
      </w:pPr>
      <w:r>
        <w:rPr>
          <w:rStyle w:val="SectionNumber"/>
        </w:rPr>
        <w:t xml:space="preserve">3.2</w:t>
      </w:r>
      <w:r>
        <w:tab/>
      </w:r>
      <w:r>
        <w:t xml:space="preserve">Central bank financing and reserve depletion</w:t>
      </w:r>
    </w:p>
    <w:p>
      <w:pPr>
        <w:pStyle w:val="FirstParagraph"/>
      </w:pPr>
      <w:r>
        <w:t xml:space="preserve">The State Bank of Pakistan’s balance sheet tells the story of how fiscal deficits are ultimately financed. Net claims on the central government have expanded dramatically, while net foreign assets have been compressed — effectively converting domestic fiscal pressure into external vulnerability.</w:t>
      </w:r>
    </w:p>
    <w:p>
      <w:pPr>
        <w:pStyle w:val="FigureTitle"/>
      </w:pPr>
      <w:r>
        <w:t xml:space="preserve">Figure 4: Financing the deficit drains foreign assets. // State Bank of Pakistan balance sheet, percent of GDP</w:t>
      </w:r>
    </w:p>
    <w:p>
      <w:pPr>
        <w:pStyle w:val="FigureImage"/>
      </w:pPr>
      <w:r>
        <w:drawing>
          <wp:inline>
            <wp:extent cx="5943600" cy="3657600"/>
            <wp:effectExtent b="0" l="0" r="0" t="0"/>
            <wp:docPr descr="Figure 4: Financing the deficit drains foreign assets. // State Bank of Pakistan balance sheet, percent of GDP" title="" id="110" name="Picture"/>
            <a:graphic>
              <a:graphicData uri="http://schemas.openxmlformats.org/drawingml/2006/picture">
                <pic:pic>
                  <pic:nvPicPr>
                    <pic:cNvPr descr="imgs/fm_meeting/sbp-balance-sheet-decomposition.png" id="111" name="Picture"/>
                    <pic:cNvPicPr>
                      <a:picLocks noChangeArrowheads="1" noChangeAspect="1"/>
                    </pic:cNvPicPr>
                  </pic:nvPicPr>
                  <pic:blipFill>
                    <a:blip r:embed="rId109"/>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IMF Monetary and Financial Statistics; GDP from IMF WEO.</w:t>
      </w:r>
    </w:p>
    <w:bookmarkEnd w:id="112"/>
    <w:bookmarkStart w:id="119" w:name="X909ec9f681d16d644231e01479e3d39cfcdf14d"/>
    <w:p>
      <w:pPr>
        <w:pStyle w:val="Heading2"/>
      </w:pPr>
      <w:r>
        <w:rPr>
          <w:rStyle w:val="SectionNumber"/>
        </w:rPr>
        <w:t xml:space="preserve">3.3</w:t>
      </w:r>
      <w:r>
        <w:tab/>
      </w:r>
      <w:r>
        <w:t xml:space="preserve">Revenue, not expenditure, is the binding constraint</w:t>
      </w:r>
    </w:p>
    <w:p>
      <w:pPr>
        <w:pStyle w:val="FirstParagraph"/>
      </w:pPr>
      <w:r>
        <w:t xml:space="preserve">A comparison with peer countries reveals that Pakistan’s expenditure levels are not unusually high. The problem lies on the revenue side: Pakistan collects significantly less than comparators at similar income levels.</w:t>
      </w:r>
    </w:p>
    <w:p>
      <w:pPr>
        <w:pStyle w:val="FigureTitle"/>
      </w:pPr>
      <w:r>
        <w:t xml:space="preserve">Figure 5: Pakistan’s spending is in line with its peers. // Government expenditure, percent of GDP, Pakistan vs. the comparator distribution</w:t>
      </w:r>
    </w:p>
    <w:p>
      <w:pPr>
        <w:pStyle w:val="FigureImage"/>
      </w:pPr>
      <w:r>
        <w:drawing>
          <wp:inline>
            <wp:extent cx="5943600" cy="3657600"/>
            <wp:effectExtent b="0" l="0" r="0" t="0"/>
            <wp:docPr descr="Figure 5: Pakistan’s spending is in line with its peers. // Government expenditure, percent of GDP, Pakistan vs. the comparator distribution" title="" id="114" name="Picture"/>
            <a:graphic>
              <a:graphicData uri="http://schemas.openxmlformats.org/drawingml/2006/picture">
                <pic:pic>
                  <pic:nvPicPr>
                    <pic:cNvPr descr="imgs/fm_meeting/expenditure-vs-peers.png" id="115" name="Picture"/>
                    <pic:cNvPicPr>
                      <a:picLocks noChangeArrowheads="1" noChangeAspect="1"/>
                    </pic:cNvPicPr>
                  </pic:nvPicPr>
                  <pic:blipFill>
                    <a:blip r:embed="rId113"/>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IMF World Revenue Longitudinal Data (WoRLD).</w:t>
      </w:r>
    </w:p>
    <w:p>
      <w:pPr>
        <w:pStyle w:val="FigureTitle"/>
      </w:pPr>
      <w:r>
        <w:t xml:space="preserve">Figure 6: But it collects far less revenue than they do. // Government revenue, percent of GDP, Pakistan vs. the comparator distribution</w:t>
      </w:r>
    </w:p>
    <w:p>
      <w:pPr>
        <w:pStyle w:val="FigureImage"/>
      </w:pPr>
      <w:r>
        <w:drawing>
          <wp:inline>
            <wp:extent cx="5943600" cy="3657600"/>
            <wp:effectExtent b="0" l="0" r="0" t="0"/>
            <wp:docPr descr="Figure 6: But it collects far less revenue than they do. // Government revenue, percent of GDP, Pakistan vs. the comparator distribution" title="" id="117" name="Picture"/>
            <a:graphic>
              <a:graphicData uri="http://schemas.openxmlformats.org/drawingml/2006/picture">
                <pic:pic>
                  <pic:nvPicPr>
                    <pic:cNvPr descr="imgs/fm_meeting/revenue-vs-peers.png" id="118" name="Picture"/>
                    <pic:cNvPicPr>
                      <a:picLocks noChangeArrowheads="1" noChangeAspect="1"/>
                    </pic:cNvPicPr>
                  </pic:nvPicPr>
                  <pic:blipFill>
                    <a:blip r:embed="rId116"/>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IMF World Revenue Longitudinal Data (WoRLD).</w:t>
      </w:r>
    </w:p>
    <w:bookmarkEnd w:id="119"/>
    <w:bookmarkStart w:id="123" w:name="revenue-composition"/>
    <w:p>
      <w:pPr>
        <w:pStyle w:val="Heading2"/>
      </w:pPr>
      <w:r>
        <w:rPr>
          <w:rStyle w:val="SectionNumber"/>
        </w:rPr>
        <w:t xml:space="preserve">3.4</w:t>
      </w:r>
      <w:r>
        <w:tab/>
      </w:r>
      <w:r>
        <w:t xml:space="preserve">Revenue composition</w:t>
      </w:r>
    </w:p>
    <w:p>
      <w:pPr>
        <w:pStyle w:val="FirstParagraph"/>
      </w:pPr>
      <w:r>
        <w:t xml:space="preserve">Pakistan has improved income tax collections in recent years and recently expanded its reliance on trade taxes — a move it is now winding down under IMF program conditions. The composition of revenue matters as much as the level: an over-reliance on trade taxes distorts incentives for exporters and importers alike.</w:t>
      </w:r>
    </w:p>
    <w:p>
      <w:pPr>
        <w:pStyle w:val="FigureTitle"/>
      </w:pPr>
      <w:r>
        <w:t xml:space="preserve">Figure 7: Pakistan leans more on trade taxes than its peers. // Tax revenue by source, percent of GDP, Pakistan vs. comparators</w:t>
      </w:r>
    </w:p>
    <w:p>
      <w:pPr>
        <w:pStyle w:val="FigureImage"/>
      </w:pPr>
      <w:r>
        <w:drawing>
          <wp:inline>
            <wp:extent cx="5943600" cy="5486399"/>
            <wp:effectExtent b="0" l="0" r="0" t="0"/>
            <wp:docPr descr="Figure 7: Pakistan leans more on trade taxes than its peers. // Tax revenue by source, percent of GDP, Pakistan vs. comparators" title="" id="121" name="Picture"/>
            <a:graphic>
              <a:graphicData uri="http://schemas.openxmlformats.org/drawingml/2006/picture">
                <pic:pic>
                  <pic:nvPicPr>
                    <pic:cNvPr descr="imgs/fm_meeting/revenue-composition-vs-peers.png" id="122" name="Picture"/>
                    <pic:cNvPicPr>
                      <a:picLocks noChangeArrowheads="1" noChangeAspect="1"/>
                    </pic:cNvPicPr>
                  </pic:nvPicPr>
                  <pic:blipFill>
                    <a:blip r:embed="rId120"/>
                    <a:stretch>
                      <a:fillRect/>
                    </a:stretch>
                  </pic:blipFill>
                  <pic:spPr bwMode="auto">
                    <a:xfrm>
                      <a:off x="0" y="0"/>
                      <a:ext cx="5943600" cy="5486399"/>
                    </a:xfrm>
                    <a:prstGeom prst="rect">
                      <a:avLst/>
                    </a:prstGeom>
                    <a:noFill/>
                    <a:ln w="9525">
                      <a:noFill/>
                      <a:headEnd/>
                      <a:tailEnd/>
                    </a:ln>
                  </pic:spPr>
                </pic:pic>
              </a:graphicData>
            </a:graphic>
          </wp:inline>
        </w:drawing>
      </w:r>
    </w:p>
    <w:p>
      <w:pPr>
        <w:pStyle w:val="FigureSource"/>
      </w:pPr>
      <w:r>
        <w:t xml:space="preserve">Source: IMF World Revenue Longitudinal Data (WoRLD).</w:t>
      </w:r>
    </w:p>
    <w:bookmarkEnd w:id="123"/>
    <w:bookmarkStart w:id="127" w:name="crowding-out-of-private-credit"/>
    <w:p>
      <w:pPr>
        <w:pStyle w:val="Heading2"/>
      </w:pPr>
      <w:r>
        <w:rPr>
          <w:rStyle w:val="SectionNumber"/>
        </w:rPr>
        <w:t xml:space="preserve">3.5</w:t>
      </w:r>
      <w:r>
        <w:tab/>
      </w:r>
      <w:r>
        <w:t xml:space="preserve">Crowding out of private credit</w:t>
      </w:r>
    </w:p>
    <w:p>
      <w:pPr>
        <w:pStyle w:val="FirstParagraph"/>
      </w:pPr>
      <w:r>
        <w:t xml:space="preserve">Fiscal deficits financed through the domestic banking system have crowded out private sector credit. Pakistan’s domestic credit to the private sector as a share of GDP is among the lowest in its comparator set — a reflection of the government’s dominance of the financial system.</w:t>
      </w:r>
    </w:p>
    <w:p>
      <w:pPr>
        <w:pStyle w:val="FigureTitle"/>
      </w:pPr>
      <w:r>
        <w:t xml:space="preserve">Figure 8: Government borrowing crowds out private credit. // Domestic credit to the private sector, percent of GDP, Pakistan vs. comparators</w:t>
      </w:r>
    </w:p>
    <w:p>
      <w:pPr>
        <w:pStyle w:val="FigureImage"/>
      </w:pPr>
      <w:r>
        <w:drawing>
          <wp:inline>
            <wp:extent cx="5943600" cy="3657600"/>
            <wp:effectExtent b="0" l="0" r="0" t="0"/>
            <wp:docPr descr="Figure 8: Government borrowing crowds out private credit. // Domestic credit to the private sector, percent of GDP, Pakistan vs. comparators" title="" id="125" name="Picture"/>
            <a:graphic>
              <a:graphicData uri="http://schemas.openxmlformats.org/drawingml/2006/picture">
                <pic:pic>
                  <pic:nvPicPr>
                    <pic:cNvPr descr="imgs/fm_meeting/private-credit-comparators.png" id="126" name="Picture"/>
                    <pic:cNvPicPr>
                      <a:picLocks noChangeArrowheads="1" noChangeAspect="1"/>
                    </pic:cNvPicPr>
                  </pic:nvPicPr>
                  <pic:blipFill>
                    <a:blip r:embed="rId124"/>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World Bank WDI.</w:t>
      </w:r>
    </w:p>
    <w:bookmarkEnd w:id="127"/>
    <w:bookmarkEnd w:id="128"/>
    <w:bookmarkStart w:id="145" w:name="lagging-exports"/>
    <w:p>
      <w:pPr>
        <w:pStyle w:val="Heading1"/>
      </w:pPr>
      <w:r>
        <w:rPr>
          <w:rStyle w:val="SectionNumber"/>
        </w:rPr>
        <w:t xml:space="preserve">4</w:t>
      </w:r>
      <w:r>
        <w:tab/>
      </w:r>
      <w:r>
        <w:t xml:space="preserve">Lagging Exports</w:t>
      </w:r>
    </w:p>
    <w:bookmarkStart w:id="132" w:name="a-declining-export-base"/>
    <w:p>
      <w:pPr>
        <w:pStyle w:val="Heading2"/>
      </w:pPr>
      <w:r>
        <w:rPr>
          <w:rStyle w:val="SectionNumber"/>
        </w:rPr>
        <w:t xml:space="preserve">4.1</w:t>
      </w:r>
      <w:r>
        <w:tab/>
      </w:r>
      <w:r>
        <w:t xml:space="preserve">A declining export base</w:t>
      </w:r>
    </w:p>
    <w:p>
      <w:pPr>
        <w:pStyle w:val="FirstParagraph"/>
      </w:pPr>
      <w:r>
        <w:t xml:space="preserve">Pakistan’s exports per capita have fallen roughly 25% since a peak in 2011. This decline is not merely a cyclical phenomenon — it reflects a structural erosion of export capacity that has left Pakistan increasingly dependent on remittances to finance its import bill.</w:t>
      </w:r>
    </w:p>
    <w:p>
      <w:pPr>
        <w:pStyle w:val="FigureTitle"/>
      </w:pPr>
      <w:r>
        <w:t xml:space="preserve">Figure 9: Exports per capita have fallen since their 2011 peak. // Goods and services exports per capita by sector, constant 2023 USD</w:t>
      </w:r>
    </w:p>
    <w:p>
      <w:pPr>
        <w:pStyle w:val="FigureImage"/>
      </w:pPr>
      <w:r>
        <w:drawing>
          <wp:inline>
            <wp:extent cx="5943600" cy="3657600"/>
            <wp:effectExtent b="0" l="0" r="0" t="0"/>
            <wp:docPr descr="Figure 9: Exports per capita have fallen since their 2011 peak. // Goods and services exports per capita by sector, constant 2023 USD" title="" id="130" name="Picture"/>
            <a:graphic>
              <a:graphicData uri="http://schemas.openxmlformats.org/drawingml/2006/picture">
                <pic:pic>
                  <pic:nvPicPr>
                    <pic:cNvPr descr="imgs/fm_meeting/exports-per-capita.png" id="131" name="Picture"/>
                    <pic:cNvPicPr>
                      <a:picLocks noChangeArrowheads="1" noChangeAspect="1"/>
                    </pic:cNvPicPr>
                  </pic:nvPicPr>
                  <pic:blipFill>
                    <a:blip r:embed="rId129"/>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Atlas of Economic Complexity; IMF WEO.</w:t>
      </w:r>
    </w:p>
    <w:bookmarkEnd w:id="132"/>
    <w:bookmarkStart w:id="136" w:name="textile-concentration-and-losses"/>
    <w:p>
      <w:pPr>
        <w:pStyle w:val="Heading2"/>
      </w:pPr>
      <w:r>
        <w:rPr>
          <w:rStyle w:val="SectionNumber"/>
        </w:rPr>
        <w:t xml:space="preserve">4.2</w:t>
      </w:r>
      <w:r>
        <w:tab/>
      </w:r>
      <w:r>
        <w:t xml:space="preserve">Textile concentration and losses</w:t>
      </w:r>
    </w:p>
    <w:p>
      <w:pPr>
        <w:pStyle w:val="FirstParagraph"/>
      </w:pPr>
      <w:r>
        <w:t xml:space="preserve">The losses are concentrated in Pakistan’s historically dominant sector: textiles. While other sectors have shown modest gains, they have not been sufficient to offset the decline in textile exports. This concentration risk makes Pakistan’s export earnings highly sensitive to global demand conditions in a single sector.</w:t>
      </w:r>
    </w:p>
    <w:p>
      <w:pPr>
        <w:pStyle w:val="FigureTitle"/>
      </w:pPr>
      <w:r>
        <w:t xml:space="preserve">Figure 10: The decline is concentrated in textiles. // Change in exports per capita by sector since 2011, constant USD</w:t>
      </w:r>
    </w:p>
    <w:p>
      <w:pPr>
        <w:pStyle w:val="FigureImage"/>
      </w:pPr>
      <w:r>
        <w:drawing>
          <wp:inline>
            <wp:extent cx="5943600" cy="3657600"/>
            <wp:effectExtent b="0" l="0" r="0" t="0"/>
            <wp:docPr descr="Figure 10: The decline is concentrated in textiles. // Change in exports per capita by sector since 2011, constant USD" title="" id="134" name="Picture"/>
            <a:graphic>
              <a:graphicData uri="http://schemas.openxmlformats.org/drawingml/2006/picture">
                <pic:pic>
                  <pic:nvPicPr>
                    <pic:cNvPr descr="imgs/fm_meeting/exports-decline-drivers.png" id="135" name="Picture"/>
                    <pic:cNvPicPr>
                      <a:picLocks noChangeArrowheads="1" noChangeAspect="1"/>
                    </pic:cNvPicPr>
                  </pic:nvPicPr>
                  <pic:blipFill>
                    <a:blip r:embed="rId133"/>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Atlas of Economic Complexity.</w:t>
      </w:r>
    </w:p>
    <w:bookmarkEnd w:id="136"/>
    <w:bookmarkStart w:id="140" w:name="decomposing-the-export-decline"/>
    <w:p>
      <w:pPr>
        <w:pStyle w:val="Heading2"/>
      </w:pPr>
      <w:r>
        <w:rPr>
          <w:rStyle w:val="SectionNumber"/>
        </w:rPr>
        <w:t xml:space="preserve">4.3</w:t>
      </w:r>
      <w:r>
        <w:tab/>
      </w:r>
      <w:r>
        <w:t xml:space="preserve">Decomposing the export decline</w:t>
      </w:r>
    </w:p>
    <w:p>
      <w:pPr>
        <w:pStyle w:val="FirstParagraph"/>
      </w:pPr>
      <w:r>
        <w:t xml:space="preserve">A decomposition of export per capita changes by sector reveals that the drivers differ across product groups. In some sectors, Pakistan has lost global market share; in others, population growth has outpaced export growth; in still others, global prices have moved against Pakistani products.</w:t>
      </w:r>
    </w:p>
    <w:p>
      <w:pPr>
        <w:pStyle w:val="FigureTitle"/>
      </w:pPr>
      <w:r>
        <w:t xml:space="preserve">Figure 11: Different sectors decline for different reasons. // Export per capita change decomposed by sector and driver</w:t>
      </w:r>
    </w:p>
    <w:p>
      <w:pPr>
        <w:pStyle w:val="FigureImage"/>
      </w:pPr>
      <w:r>
        <w:drawing>
          <wp:inline>
            <wp:extent cx="5943600" cy="3657600"/>
            <wp:effectExtent b="0" l="0" r="0" t="0"/>
            <wp:docPr descr="Figure 11: Different sectors decline for different reasons. // Export per capita change decomposed by sector and driver" title="" id="138" name="Picture"/>
            <a:graphic>
              <a:graphicData uri="http://schemas.openxmlformats.org/drawingml/2006/picture">
                <pic:pic>
                  <pic:nvPicPr>
                    <pic:cNvPr descr="imgs/fm_meeting/exports-decomposition.png" id="139" name="Picture"/>
                    <pic:cNvPicPr>
                      <a:picLocks noChangeArrowheads="1" noChangeAspect="1"/>
                    </pic:cNvPicPr>
                  </pic:nvPicPr>
                  <pic:blipFill>
                    <a:blip r:embed="rId137"/>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Atlas of Economic Complexity.</w:t>
      </w:r>
    </w:p>
    <w:bookmarkEnd w:id="140"/>
    <w:bookmarkStart w:id="144" w:name="remittances-as-a-buffer"/>
    <w:p>
      <w:pPr>
        <w:pStyle w:val="Heading2"/>
      </w:pPr>
      <w:r>
        <w:rPr>
          <w:rStyle w:val="SectionNumber"/>
        </w:rPr>
        <w:t xml:space="preserve">4.4</w:t>
      </w:r>
      <w:r>
        <w:tab/>
      </w:r>
      <w:r>
        <w:t xml:space="preserve">Remittances as a buffer</w:t>
      </w:r>
    </w:p>
    <w:p>
      <w:pPr>
        <w:pStyle w:val="FirstParagraph"/>
      </w:pPr>
      <w:r>
        <w:t xml:space="preserve">Growing remittances have partially offset the decline in export earnings, maintaining Pakistan’s aggregate import capacity. But remittances are not a substitute for productive exports — they do not generate the same learning-by-doing, technology transfer, or institutional upgrading that comes from competing in global product markets.</w:t>
      </w:r>
    </w:p>
    <w:p>
      <w:pPr>
        <w:pStyle w:val="FigureTitle"/>
      </w:pPr>
      <w:r>
        <w:t xml:space="preserve">Figure 12: Remittances have masked the export decline. // Exports and remittances per capita, constant 2023 USD</w:t>
      </w:r>
    </w:p>
    <w:p>
      <w:pPr>
        <w:pStyle w:val="FigureImage"/>
      </w:pPr>
      <w:r>
        <w:drawing>
          <wp:inline>
            <wp:extent cx="5943600" cy="3657600"/>
            <wp:effectExtent b="0" l="0" r="0" t="0"/>
            <wp:docPr descr="Figure 12: Remittances have masked the export decline. // Exports and remittances per capita, constant 2023 USD" title="" id="142" name="Picture"/>
            <a:graphic>
              <a:graphicData uri="http://schemas.openxmlformats.org/drawingml/2006/picture">
                <pic:pic>
                  <pic:nvPicPr>
                    <pic:cNvPr descr="imgs/fm_meeting/exports-plus-remittances-per-capita.png" id="143" name="Picture"/>
                    <pic:cNvPicPr>
                      <a:picLocks noChangeArrowheads="1" noChangeAspect="1"/>
                    </pic:cNvPicPr>
                  </pic:nvPicPr>
                  <pic:blipFill>
                    <a:blip r:embed="rId141"/>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Atlas of Economic Complexity; World Bank WDI.</w:t>
      </w:r>
    </w:p>
    <w:bookmarkEnd w:id="144"/>
    <w:bookmarkEnd w:id="145"/>
    <w:bookmarkStart w:id="161" w:name="the-energy-constraint"/>
    <w:p>
      <w:pPr>
        <w:pStyle w:val="Heading1"/>
      </w:pPr>
      <w:r>
        <w:rPr>
          <w:rStyle w:val="SectionNumber"/>
        </w:rPr>
        <w:t xml:space="preserve">5</w:t>
      </w:r>
      <w:r>
        <w:tab/>
      </w:r>
      <w:r>
        <w:t xml:space="preserve">The Energy Constraint</w:t>
      </w:r>
    </w:p>
    <w:bookmarkStart w:id="149" w:name="energy-imports-relative-to-income"/>
    <w:p>
      <w:pPr>
        <w:pStyle w:val="Heading2"/>
      </w:pPr>
      <w:r>
        <w:rPr>
          <w:rStyle w:val="SectionNumber"/>
        </w:rPr>
        <w:t xml:space="preserve">5.1</w:t>
      </w:r>
      <w:r>
        <w:tab/>
      </w:r>
      <w:r>
        <w:t xml:space="preserve">Energy imports relative to income</w:t>
      </w:r>
    </w:p>
    <w:p>
      <w:pPr>
        <w:pStyle w:val="FirstParagraph"/>
      </w:pPr>
      <w:r>
        <w:t xml:space="preserve">Given Pakistan’s GDP per capita, it imports relatively little energy in absolute terms. But this apparent moderation masks a deeper problem.</w:t>
      </w:r>
    </w:p>
    <w:p>
      <w:pPr>
        <w:pStyle w:val="FigureTitle"/>
      </w:pPr>
      <w:r>
        <w:t xml:space="preserve">Figure 13: In absolute terms, Pakistan imports little energy. // Energy imports per capita vs. GDP per capita</w:t>
      </w:r>
    </w:p>
    <w:p>
      <w:pPr>
        <w:pStyle w:val="FigureImage"/>
      </w:pPr>
      <w:r>
        <w:drawing>
          <wp:inline>
            <wp:extent cx="5943600" cy="3657600"/>
            <wp:effectExtent b="0" l="0" r="0" t="0"/>
            <wp:docPr descr="Figure 13: In absolute terms, Pakistan imports little energy. // Energy imports per capita vs. GDP per capita" title="" id="147" name="Picture"/>
            <a:graphic>
              <a:graphicData uri="http://schemas.openxmlformats.org/drawingml/2006/picture">
                <pic:pic>
                  <pic:nvPicPr>
                    <pic:cNvPr descr="imgs/fm_meeting/energy-imports-vs-gdppc-scatter.png" id="148" name="Picture"/>
                    <pic:cNvPicPr>
                      <a:picLocks noChangeArrowheads="1" noChangeAspect="1"/>
                    </pic:cNvPicPr>
                  </pic:nvPicPr>
                  <pic:blipFill>
                    <a:blip r:embed="rId146"/>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UN Comtrade; World Bank WDI.</w:t>
      </w:r>
    </w:p>
    <w:bookmarkEnd w:id="149"/>
    <w:bookmarkStart w:id="153" w:name="the-fuel-burden-on-exports"/>
    <w:p>
      <w:pPr>
        <w:pStyle w:val="Heading2"/>
      </w:pPr>
      <w:r>
        <w:rPr>
          <w:rStyle w:val="SectionNumber"/>
        </w:rPr>
        <w:t xml:space="preserve">5.2</w:t>
      </w:r>
      <w:r>
        <w:tab/>
      </w:r>
      <w:r>
        <w:t xml:space="preserve">The fuel burden on exports</w:t>
      </w:r>
    </w:p>
    <w:p>
      <w:pPr>
        <w:pStyle w:val="FirstParagraph"/>
      </w:pPr>
      <w:r>
        <w:t xml:space="preserve">When measured as a share of export earnings — the relevant metric for external sustainability — Pakistan’s fuel import burden is significantly higher than what its income level would predict. Energy imports consume a large fraction of the foreign exchange that exports generate, tightening the current account constraint.</w:t>
      </w:r>
    </w:p>
    <w:p>
      <w:pPr>
        <w:pStyle w:val="FigureTitle"/>
      </w:pPr>
      <w:r>
        <w:t xml:space="preserve">Figure 14: But fuel consumes an outsized share of export earnings. // Fuel imports as a share of exports vs. GDP per capita</w:t>
      </w:r>
    </w:p>
    <w:p>
      <w:pPr>
        <w:pStyle w:val="FigureImage"/>
      </w:pPr>
      <w:r>
        <w:drawing>
          <wp:inline>
            <wp:extent cx="5943600" cy="3657600"/>
            <wp:effectExtent b="0" l="0" r="0" t="0"/>
            <wp:docPr descr="Figure 14: But fuel consumes an outsized share of export earnings. // Fuel imports as a share of exports vs. GDP per capita" title="" id="151" name="Picture"/>
            <a:graphic>
              <a:graphicData uri="http://schemas.openxmlformats.org/drawingml/2006/picture">
                <pic:pic>
                  <pic:nvPicPr>
                    <pic:cNvPr descr="imgs/fm_meeting/fuel-burden-vs-gdppc-scatter.png" id="152" name="Picture"/>
                    <pic:cNvPicPr>
                      <a:picLocks noChangeArrowheads="1" noChangeAspect="1"/>
                    </pic:cNvPicPr>
                  </pic:nvPicPr>
                  <pic:blipFill>
                    <a:blip r:embed="rId150"/>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UN Comtrade; Atlas of Economic Complexity.</w:t>
      </w:r>
    </w:p>
    <w:bookmarkEnd w:id="153"/>
    <w:bookmarkStart w:id="160" w:name="X2ca1e3035a9f6d4a5bb19344a81b14b35aafc3e"/>
    <w:p>
      <w:pPr>
        <w:pStyle w:val="Heading2"/>
      </w:pPr>
      <w:r>
        <w:rPr>
          <w:rStyle w:val="SectionNumber"/>
        </w:rPr>
        <w:t xml:space="preserve">5.3</w:t>
      </w:r>
      <w:r>
        <w:tab/>
      </w:r>
      <w:r>
        <w:t xml:space="preserve">Fossil fuel dependence and electricity pricing</w:t>
      </w:r>
    </w:p>
    <w:p>
      <w:pPr>
        <w:pStyle w:val="FirstParagraph"/>
      </w:pPr>
      <w:r>
        <w:t xml:space="preserve">Pakistan relies heavily on fossil fuels for electricity generation and, despite charging among the highest electricity prices in its income group, still carries unfunded off-balance-sheet electricity subsidies amounting to roughly 2.2% of GDP. This circular debt ties fiscal deficits directly to dollar-denominated fuel prices, creating a channel through which energy shocks propagate into fiscal and external crises.</w:t>
      </w:r>
    </w:p>
    <w:p>
      <w:pPr>
        <w:pStyle w:val="FigureTitle"/>
      </w:pPr>
      <w:r>
        <w:t xml:space="preserve">Figure 15: Pakistan’s electricity is heavily fossil-dependent. // Fossil share of electricity generation, Pakistan vs. peers, percent</w:t>
      </w:r>
    </w:p>
    <w:p>
      <w:pPr>
        <w:pStyle w:val="FigureImage"/>
      </w:pPr>
      <w:r>
        <w:drawing>
          <wp:inline>
            <wp:extent cx="5943600" cy="3657600"/>
            <wp:effectExtent b="0" l="0" r="0" t="0"/>
            <wp:docPr descr="Figure 15: Pakistan’s electricity is heavily fossil-dependent. // Fossil share of electricity generation, Pakistan vs. peers, percent" title="" id="155" name="Picture"/>
            <a:graphic>
              <a:graphicData uri="http://schemas.openxmlformats.org/drawingml/2006/picture">
                <pic:pic>
                  <pic:nvPicPr>
                    <pic:cNvPr descr="imgs/fm_meeting/fossil-electricity-vs-peers.png" id="156" name="Picture"/>
                    <pic:cNvPicPr>
                      <a:picLocks noChangeArrowheads="1" noChangeAspect="1"/>
                    </pic:cNvPicPr>
                  </pic:nvPicPr>
                  <pic:blipFill>
                    <a:blip r:embed="rId154"/>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IEA; World Bank WDI.</w:t>
      </w:r>
    </w:p>
    <w:p>
      <w:pPr>
        <w:pStyle w:val="FigureTitle"/>
      </w:pPr>
      <w:r>
        <w:t xml:space="preserve">Figure 16: Yet electricity prices are among the highest for its income. // Electricity price vs. GDP per capita</w:t>
      </w:r>
    </w:p>
    <w:p>
      <w:pPr>
        <w:pStyle w:val="FigureImage"/>
      </w:pPr>
      <w:r>
        <w:drawing>
          <wp:inline>
            <wp:extent cx="5943600" cy="3657600"/>
            <wp:effectExtent b="0" l="0" r="0" t="0"/>
            <wp:docPr descr="Figure 16: Yet electricity prices are among the highest for its income. // Electricity price vs. GDP per capita" title="" id="158" name="Picture"/>
            <a:graphic>
              <a:graphicData uri="http://schemas.openxmlformats.org/drawingml/2006/picture">
                <pic:pic>
                  <pic:nvPicPr>
                    <pic:cNvPr descr="imgs/fm_meeting/electricity-price-vs-gdppc.png" id="159" name="Picture"/>
                    <pic:cNvPicPr>
                      <a:picLocks noChangeArrowheads="1" noChangeAspect="1"/>
                    </pic:cNvPicPr>
                  </pic:nvPicPr>
                  <pic:blipFill>
                    <a:blip r:embed="rId157"/>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IEA; World Bank WDI.</w:t>
      </w:r>
    </w:p>
    <w:bookmarkEnd w:id="160"/>
    <w:bookmarkEnd w:id="161"/>
    <w:bookmarkStart w:id="168" w:name="debt-sustainability"/>
    <w:p>
      <w:pPr>
        <w:pStyle w:val="Heading1"/>
      </w:pPr>
      <w:r>
        <w:rPr>
          <w:rStyle w:val="SectionNumber"/>
        </w:rPr>
        <w:t xml:space="preserve">6</w:t>
      </w:r>
      <w:r>
        <w:tab/>
      </w:r>
      <w:r>
        <w:t xml:space="preserve">Debt Sustainability</w:t>
      </w:r>
    </w:p>
    <w:p>
      <w:pPr>
        <w:pStyle w:val="FirstParagraph"/>
      </w:pPr>
      <w:r>
        <w:t xml:space="preserve">Pakistan’s external debt stock, measured against export earnings, has been rising — a concerning trend given the simultaneous decline in export capacity. Interest expense as a share of revenue has increased sharply, and the implicit interest rate on government debt has climbed, reflecting both tighter global conditions and Pakistan’s elevated risk premium.</w:t>
      </w:r>
    </w:p>
    <w:p>
      <w:pPr>
        <w:pStyle w:val="FigureTitle"/>
      </w:pPr>
      <w:r>
        <w:t xml:space="preserve">Figure 17: External debt is rising against shrinking exports. // External debt as a share of exports, Pakistan vs. peers, percent</w:t>
      </w:r>
    </w:p>
    <w:p>
      <w:pPr>
        <w:pStyle w:val="FigureImage"/>
      </w:pPr>
      <w:r>
        <w:drawing>
          <wp:inline>
            <wp:extent cx="5943600" cy="3657600"/>
            <wp:effectExtent b="0" l="0" r="0" t="0"/>
            <wp:docPr descr="Figure 17: External debt is rising against shrinking exports. // External debt as a share of exports, Pakistan vs. peers, percent" title="" id="163" name="Picture"/>
            <a:graphic>
              <a:graphicData uri="http://schemas.openxmlformats.org/drawingml/2006/picture">
                <pic:pic>
                  <pic:nvPicPr>
                    <pic:cNvPr descr="imgs/fm_meeting/external-debt-exports-vs-peers.png" id="164" name="Picture"/>
                    <pic:cNvPicPr>
                      <a:picLocks noChangeArrowheads="1" noChangeAspect="1"/>
                    </pic:cNvPicPr>
                  </pic:nvPicPr>
                  <pic:blipFill>
                    <a:blip r:embed="rId162"/>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IMF WEO; World Bank International Debt Statistics.</w:t>
      </w:r>
    </w:p>
    <w:p>
      <w:pPr>
        <w:pStyle w:val="FigureTitle"/>
      </w:pPr>
      <w:r>
        <w:t xml:space="preserve">Figure 18: Interest now consumes a growing share of revenue. // Interest expense as a share of government revenue, Pakistan vs. peers</w:t>
      </w:r>
    </w:p>
    <w:p>
      <w:pPr>
        <w:pStyle w:val="FigureImage"/>
      </w:pPr>
      <w:r>
        <w:drawing>
          <wp:inline>
            <wp:extent cx="5943600" cy="3657600"/>
            <wp:effectExtent b="0" l="0" r="0" t="0"/>
            <wp:docPr descr="Figure 18: Interest now consumes a growing share of revenue. // Interest expense as a share of government revenue, Pakistan vs. peers" title="" id="166" name="Picture"/>
            <a:graphic>
              <a:graphicData uri="http://schemas.openxmlformats.org/drawingml/2006/picture">
                <pic:pic>
                  <pic:nvPicPr>
                    <pic:cNvPr descr="imgs/fm_meeting/interest-expense-vs-peers.png" id="167" name="Picture"/>
                    <pic:cNvPicPr>
                      <a:picLocks noChangeArrowheads="1" noChangeAspect="1"/>
                    </pic:cNvPicPr>
                  </pic:nvPicPr>
                  <pic:blipFill>
                    <a:blip r:embed="rId165"/>
                    <a:stretch>
                      <a:fillRect/>
                    </a:stretch>
                  </pic:blipFill>
                  <pic:spPr bwMode="auto">
                    <a:xfrm>
                      <a:off x="0" y="0"/>
                      <a:ext cx="5943600" cy="3657600"/>
                    </a:xfrm>
                    <a:prstGeom prst="rect">
                      <a:avLst/>
                    </a:prstGeom>
                    <a:noFill/>
                    <a:ln w="9525">
                      <a:noFill/>
                      <a:headEnd/>
                      <a:tailEnd/>
                    </a:ln>
                  </pic:spPr>
                </pic:pic>
              </a:graphicData>
            </a:graphic>
          </wp:inline>
        </w:drawing>
      </w:r>
    </w:p>
    <w:p>
      <w:pPr>
        <w:pStyle w:val="FigureSource"/>
      </w:pPr>
      <w:r>
        <w:t xml:space="preserve">Source: IMF WEO; World Bank International Debt Statistics.</w:t>
      </w:r>
    </w:p>
    <w:bookmarkEnd w:id="168"/>
    <w:bookmarkStart w:id="171" w:name="toward-a-growth-strategy"/>
    <w:p>
      <w:pPr>
        <w:pStyle w:val="Heading1"/>
      </w:pPr>
      <w:r>
        <w:rPr>
          <w:rStyle w:val="SectionNumber"/>
        </w:rPr>
        <w:t xml:space="preserve">7</w:t>
      </w:r>
      <w:r>
        <w:tab/>
      </w:r>
      <w:r>
        <w:t xml:space="preserve">Toward a Growth Strategy</w:t>
      </w:r>
    </w:p>
    <w:p>
      <w:pPr>
        <w:pStyle w:val="FirstParagraph"/>
      </w:pPr>
      <w:r>
        <w:t xml:space="preserve">The diagnosis points to a clear conclusion: Pakistan’s growth speed limit is a product of two mutually reinforcing constraints — fiscal imbalances and lagging exports. Addressing one without the other is insufficient. A fiscal consolidation that ignores export strategy will produce austerity without growth. An export strategy that ignores the macro-fiscal framework will be undermined by exchange rate instability, crowding out, and energy costs.</w:t>
      </w:r>
    </w:p>
    <w:bookmarkStart w:id="169" w:name="proposed-engagement-structure"/>
    <w:p>
      <w:pPr>
        <w:pStyle w:val="Heading2"/>
      </w:pPr>
      <w:r>
        <w:rPr>
          <w:rStyle w:val="SectionNumber"/>
        </w:rPr>
        <w:t xml:space="preserve">7.1</w:t>
      </w:r>
      <w:r>
        <w:tab/>
      </w:r>
      <w:r>
        <w:t xml:space="preserve">Proposed engagement structure</w:t>
      </w:r>
    </w:p>
    <w:p>
      <w:pPr>
        <w:pStyle w:val="FirstParagraph"/>
      </w:pPr>
      <w:r>
        <w:t xml:space="preserve">The Growth Lab proposes an 18-month engagement structured around two pillars, connected by cross-cutting Action-Learning Teams.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Pillar</w:t>
            </w:r>
          </w:p>
        </w:tc>
        <w:tc>
          <w:tcPr/>
          <w:p>
            <w:pPr>
              <w:pStyle w:val="Compact"/>
            </w:pPr>
            <w:r>
              <w:t xml:space="preserve">Focus</w:t>
            </w:r>
          </w:p>
        </w:tc>
        <w:tc>
          <w:tcPr/>
          <w:p>
            <w:pPr>
              <w:pStyle w:val="Compact"/>
            </w:pPr>
            <w:r>
              <w:t xml:space="preserve">Timeline</w:t>
            </w:r>
          </w:p>
        </w:tc>
      </w:tr>
      <w:tr>
        <w:tc>
          <w:tcPr/>
          <w:p>
            <w:pPr>
              <w:pStyle w:val="Compact"/>
            </w:pPr>
            <w:r>
              <w:t xml:space="preserve">Macro-Fiscal Framework</w:t>
            </w:r>
          </w:p>
        </w:tc>
        <w:tc>
          <w:tcPr/>
          <w:p>
            <w:pPr>
              <w:pStyle w:val="Compact"/>
            </w:pPr>
            <w:r>
              <w:t xml:space="preserve">Fiscal, monetary, and exchange rate policy that creates space for growth</w:t>
            </w:r>
          </w:p>
        </w:tc>
        <w:tc>
          <w:tcPr/>
          <w:p>
            <w:pPr>
              <w:pStyle w:val="Compact"/>
            </w:pPr>
            <w:r>
              <w:t xml:space="preserve">Months 1–8</w:t>
            </w:r>
          </w:p>
        </w:tc>
      </w:tr>
      <w:tr>
        <w:tc>
          <w:tcPr/>
          <w:p>
            <w:pPr>
              <w:pStyle w:val="Compact"/>
            </w:pPr>
            <w:r>
              <w:t xml:space="preserve">Export Strategy</w:t>
            </w:r>
          </w:p>
        </w:tc>
        <w:tc>
          <w:tcPr/>
          <w:p>
            <w:pPr>
              <w:pStyle w:val="Compact"/>
            </w:pPr>
            <w:r>
              <w:t xml:space="preserve">Priority sectors, value chains, and city-level constraints</w:t>
            </w:r>
          </w:p>
        </w:tc>
        <w:tc>
          <w:tcPr/>
          <w:p>
            <w:pPr>
              <w:pStyle w:val="Compact"/>
            </w:pPr>
            <w:r>
              <w:t xml:space="preserve">Months 4–18</w:t>
            </w:r>
          </w:p>
        </w:tc>
      </w:tr>
      <w:tr>
        <w:tc>
          <w:tcPr/>
          <w:p>
            <w:pPr>
              <w:pStyle w:val="Compact"/>
            </w:pPr>
            <w:r>
              <w:t xml:space="preserve">Action-Learning Teams</w:t>
            </w:r>
          </w:p>
        </w:tc>
        <w:tc>
          <w:tcPr/>
          <w:p>
            <w:pPr>
              <w:pStyle w:val="Compact"/>
            </w:pPr>
            <w:r>
              <w:t xml:space="preserve">Cross-cutting implementation and capacity building</w:t>
            </w:r>
          </w:p>
        </w:tc>
        <w:tc>
          <w:tcPr/>
          <w:p>
            <w:pPr>
              <w:pStyle w:val="Compact"/>
            </w:pPr>
            <w:r>
              <w:t xml:space="preserve">Throughout</w:t>
            </w:r>
          </w:p>
        </w:tc>
      </w:tr>
    </w:tbl>
    <w:tbl>
      <w:tblPr>
        <w:tblW w:w="5000" w:type="pct"/>
        <w:tblBorders>
          <w:top w:val="none" w:sz="0" w:space="0" w:color="auto"/>
          <w:left w:val="single" w:sz="24" w:space="0" w:color="266798"/>
          <w:bottom w:val="none" w:sz="0" w:space="0" w:color="auto"/>
          <w:right w:val="none" w:sz="0" w:space="0" w:color="auto"/>
        </w:tblBorders>
        <w:tblCellMar>
          <w:top w:w="173" w:type="dxa"/>
          <w:left w:w="233" w:type="dxa"/>
          <w:bottom w:w="173" w:type="dxa"/>
          <w:right w:w="173" w:type="dxa"/>
        </w:tblCellMar>
      </w:tblPr>
      <w:tblGrid>
        <w:gridCol w:w="9360"/>
      </w:tblGrid>
      <w:tr>
        <w:tc>
          <w:tcPr>
            <w:shd w:val="clear" w:color="auto" w:fill="F3F3F3"/>
          </w:tcPr>
          <w:p>
            <w:pPr>
              <w:spacing w:after="120"/>
            </w:pPr>
            <w:r>
              <w:rPr>
                <w:rFonts w:ascii="Source Sans 3" w:hAnsi="Source Sans 3"/>
                <w:b/>
                <w:bCs/>
                <w:color w:val="266798"/>
              </w:rPr>
              <w:t xml:space="preserve">Implementation Model</w:t>
            </w:r>
          </w:p>
          <w:p>
            <w:r>
              <w:t xml:space="preserve">The</w:t>
            </w:r>
            <w:r>
              <w:t xml:space="preserve"> </w:t>
            </w:r>
            <w:r>
              <w:t xml:space="preserve">engagement</w:t>
            </w:r>
            <w:r>
              <w:t xml:space="preserve"> </w:t>
            </w:r>
            <w:r>
              <w:t xml:space="preserve">follows</w:t>
            </w:r>
            <w:r>
              <w:t xml:space="preserve"> </w:t>
            </w:r>
            <w:r>
              <w:t xml:space="preserve">two</w:t>
            </w:r>
            <w:r>
              <w:t xml:space="preserve"> </w:t>
            </w:r>
            <w:r>
              <w:t xml:space="preserve">parallel</w:t>
            </w:r>
            <w:r>
              <w:t xml:space="preserve"> </w:t>
            </w:r>
            <w:r>
              <w:t xml:space="preserve">tracks:</w:t>
            </w:r>
          </w:p>
          <w:p>
            <w:pPr>
              <w:pStyle w:val="ListBullet"/>
            </w:pPr>
            <w:r>
              <w:rPr>
                <w:b/>
                <w:bCs/>
              </w:rPr>
              <w:t xml:space="preserve">Track</w:t>
            </w:r>
            <w:r>
              <w:t xml:space="preserve"> </w:t>
            </w:r>
            <w:r>
              <w:rPr>
                <w:b/>
                <w:bCs/>
              </w:rPr>
              <w:t xml:space="preserve">1:</w:t>
            </w:r>
            <w:r>
              <w:t xml:space="preserve"> </w:t>
            </w:r>
            <w:r>
              <w:rPr>
                <w:b/>
                <w:bCs/>
              </w:rPr>
              <w:t xml:space="preserve">Diagnose</w:t>
            </w:r>
            <w:r>
              <w:t xml:space="preserve"> </w:t>
            </w:r>
            <w:r>
              <w:rPr>
                <w:b/>
                <w:bCs/>
              </w:rPr>
              <w:t xml:space="preserve">and</w:t>
            </w:r>
            <w:r>
              <w:t xml:space="preserve"> </w:t>
            </w:r>
            <w:r>
              <w:rPr>
                <w:b/>
                <w:bCs/>
              </w:rPr>
              <w:t xml:space="preserve">Design</w:t>
            </w:r>
            <w:r>
              <w:t xml:space="preserve"> </w:t>
            </w:r>
            <w:r>
              <w:t xml:space="preserve">—</w:t>
            </w:r>
            <w:r>
              <w:t xml:space="preserve"> </w:t>
            </w:r>
            <w:r>
              <w:t xml:space="preserve">A</w:t>
            </w:r>
            <w:r>
              <w:t xml:space="preserve"> </w:t>
            </w:r>
            <w:r>
              <w:t xml:space="preserve">4–6</w:t>
            </w:r>
            <w:r>
              <w:t xml:space="preserve"> </w:t>
            </w:r>
            <w:r>
              <w:t xml:space="preserve">month</w:t>
            </w:r>
            <w:r>
              <w:t xml:space="preserve"> </w:t>
            </w:r>
            <w:r>
              <w:t xml:space="preserve">growth</w:t>
            </w:r>
            <w:r>
              <w:t xml:space="preserve"> </w:t>
            </w:r>
            <w:r>
              <w:t xml:space="preserve">diagnostic</w:t>
            </w:r>
            <w:r>
              <w:t xml:space="preserve"> </w:t>
            </w:r>
            <w:r>
              <w:t xml:space="preserve">followed</w:t>
            </w:r>
            <w:r>
              <w:t xml:space="preserve"> </w:t>
            </w:r>
            <w:r>
              <w:t xml:space="preserve">by</w:t>
            </w:r>
            <w:r>
              <w:t xml:space="preserve"> </w:t>
            </w:r>
            <w:r>
              <w:t xml:space="preserve">detailed</w:t>
            </w:r>
            <w:r>
              <w:t xml:space="preserve"> </w:t>
            </w:r>
            <w:r>
              <w:t xml:space="preserve">policy</w:t>
            </w:r>
            <w:r>
              <w:t xml:space="preserve"> </w:t>
            </w:r>
            <w:r>
              <w:t xml:space="preserve">frameworks</w:t>
            </w:r>
            <w:r>
              <w:t xml:space="preserve"> </w:t>
            </w:r>
            <w:r>
              <w:t xml:space="preserve">for</w:t>
            </w:r>
            <w:r>
              <w:t xml:space="preserve"> </w:t>
            </w:r>
            <w:r>
              <w:t xml:space="preserve">macro-fiscal</w:t>
            </w:r>
            <w:r>
              <w:t xml:space="preserve"> </w:t>
            </w:r>
            <w:r>
              <w:t xml:space="preserve">and</w:t>
            </w:r>
            <w:r>
              <w:t xml:space="preserve"> </w:t>
            </w:r>
            <w:r>
              <w:t xml:space="preserve">export</w:t>
            </w:r>
            <w:r>
              <w:t xml:space="preserve"> </w:t>
            </w:r>
            <w:r>
              <w:t xml:space="preserve">strategy.</w:t>
            </w:r>
          </w:p>
          <w:p>
            <w:pPr>
              <w:pStyle w:val="ListBullet"/>
            </w:pPr>
            <w:r>
              <w:rPr>
                <w:b/>
                <w:bCs/>
              </w:rPr>
              <w:t xml:space="preserve">Track</w:t>
            </w:r>
            <w:r>
              <w:t xml:space="preserve"> </w:t>
            </w:r>
            <w:r>
              <w:rPr>
                <w:b/>
                <w:bCs/>
              </w:rPr>
              <w:t xml:space="preserve">2:</w:t>
            </w:r>
            <w:r>
              <w:t xml:space="preserve"> </w:t>
            </w:r>
            <w:r>
              <w:rPr>
                <w:b/>
                <w:bCs/>
              </w:rPr>
              <w:t xml:space="preserve">Implementation</w:t>
            </w:r>
            <w:r>
              <w:t xml:space="preserve"> </w:t>
            </w:r>
            <w:r>
              <w:rPr>
                <w:b/>
                <w:bCs/>
              </w:rPr>
              <w:t xml:space="preserve">and</w:t>
            </w:r>
            <w:r>
              <w:t xml:space="preserve"> </w:t>
            </w:r>
            <w:r>
              <w:rPr>
                <w:b/>
                <w:bCs/>
              </w:rPr>
              <w:t xml:space="preserve">Adaptive</w:t>
            </w:r>
            <w:r>
              <w:t xml:space="preserve"> </w:t>
            </w:r>
            <w:r>
              <w:rPr>
                <w:b/>
                <w:bCs/>
              </w:rPr>
              <w:t xml:space="preserve">Learning</w:t>
            </w:r>
            <w:r>
              <w:t xml:space="preserve"> </w:t>
            </w:r>
            <w:r>
              <w:t xml:space="preserve">—</w:t>
            </w:r>
            <w:r>
              <w:t xml:space="preserve"> </w:t>
            </w:r>
            <w:r>
              <w:t xml:space="preserve">Action-learning</w:t>
            </w:r>
            <w:r>
              <w:t xml:space="preserve"> </w:t>
            </w:r>
            <w:r>
              <w:t xml:space="preserve">teams</w:t>
            </w:r>
            <w:r>
              <w:t xml:space="preserve"> </w:t>
            </w:r>
            <w:r>
              <w:t xml:space="preserve">embedded</w:t>
            </w:r>
            <w:r>
              <w:t xml:space="preserve"> </w:t>
            </w:r>
            <w:r>
              <w:t xml:space="preserve">with</w:t>
            </w:r>
            <w:r>
              <w:t xml:space="preserve"> </w:t>
            </w:r>
            <w:r>
              <w:t xml:space="preserve">government</w:t>
            </w:r>
            <w:r>
              <w:t xml:space="preserve"> </w:t>
            </w:r>
            <w:r>
              <w:t xml:space="preserve">counterparts,</w:t>
            </w:r>
            <w:r>
              <w:t xml:space="preserve"> </w:t>
            </w:r>
            <w:r>
              <w:t xml:space="preserve">ramping</w:t>
            </w:r>
            <w:r>
              <w:t xml:space="preserve"> </w:t>
            </w:r>
            <w:r>
              <w:t xml:space="preserve">up</w:t>
            </w:r>
            <w:r>
              <w:t xml:space="preserve"> </w:t>
            </w:r>
            <w:r>
              <w:t xml:space="preserve">in</w:t>
            </w:r>
            <w:r>
              <w:t xml:space="preserve"> </w:t>
            </w:r>
            <w:r>
              <w:t xml:space="preserve">intensity</w:t>
            </w:r>
            <w:r>
              <w:t xml:space="preserve"> </w:t>
            </w:r>
            <w:r>
              <w:t xml:space="preserve">as</w:t>
            </w:r>
            <w:r>
              <w:t xml:space="preserve"> </w:t>
            </w:r>
            <w:r>
              <w:t xml:space="preserve">diagnostic</w:t>
            </w:r>
            <w:r>
              <w:t xml:space="preserve"> </w:t>
            </w:r>
            <w:r>
              <w:t xml:space="preserve">findings</w:t>
            </w:r>
            <w:r>
              <w:t xml:space="preserve"> </w:t>
            </w:r>
            <w:r>
              <w:t xml:space="preserve">crystallize.</w:t>
            </w:r>
          </w:p>
          <w:p>
            <w:r>
              <w:t xml:space="preserve">The</w:t>
            </w:r>
            <w:r>
              <w:t xml:space="preserve"> </w:t>
            </w:r>
            <w:r>
              <w:t xml:space="preserve">goal</w:t>
            </w:r>
            <w:r>
              <w:t xml:space="preserve"> </w:t>
            </w:r>
            <w:r>
              <w:t xml:space="preserve">is</w:t>
            </w:r>
            <w:r>
              <w:t xml:space="preserve"> </w:t>
            </w:r>
            <w:r>
              <w:t xml:space="preserve">not</w:t>
            </w:r>
            <w:r>
              <w:t xml:space="preserve"> </w:t>
            </w:r>
            <w:r>
              <w:t xml:space="preserve">to</w:t>
            </w:r>
            <w:r>
              <w:t xml:space="preserve"> </w:t>
            </w:r>
            <w:r>
              <w:t xml:space="preserve">produce</w:t>
            </w:r>
            <w:r>
              <w:t xml:space="preserve"> </w:t>
            </w:r>
            <w:r>
              <w:t xml:space="preserve">a</w:t>
            </w:r>
            <w:r>
              <w:t xml:space="preserve"> </w:t>
            </w:r>
            <w:r>
              <w:t xml:space="preserve">report</w:t>
            </w:r>
            <w:r>
              <w:t xml:space="preserve"> </w:t>
            </w:r>
            <w:r>
              <w:t xml:space="preserve">that</w:t>
            </w:r>
            <w:r>
              <w:t xml:space="preserve"> </w:t>
            </w:r>
            <w:r>
              <w:t xml:space="preserve">sits</w:t>
            </w:r>
            <w:r>
              <w:t xml:space="preserve"> </w:t>
            </w:r>
            <w:r>
              <w:t xml:space="preserve">on</w:t>
            </w:r>
            <w:r>
              <w:t xml:space="preserve"> </w:t>
            </w:r>
            <w:r>
              <w:t xml:space="preserve">a</w:t>
            </w:r>
            <w:r>
              <w:t xml:space="preserve"> </w:t>
            </w:r>
            <w:r>
              <w:t xml:space="preserve">shelf,</w:t>
            </w:r>
            <w:r>
              <w:t xml:space="preserve"> </w:t>
            </w:r>
            <w:r>
              <w:t xml:space="preserve">but</w:t>
            </w:r>
            <w:r>
              <w:t xml:space="preserve"> </w:t>
            </w:r>
            <w:r>
              <w:t xml:space="preserve">to</w:t>
            </w:r>
            <w:r>
              <w:t xml:space="preserve"> </w:t>
            </w:r>
            <w:r>
              <w:t xml:space="preserve">build</w:t>
            </w:r>
            <w:r>
              <w:t xml:space="preserve"> </w:t>
            </w:r>
            <w:r>
              <w:t xml:space="preserve">analytical</w:t>
            </w:r>
            <w:r>
              <w:t xml:space="preserve"> </w:t>
            </w:r>
            <w:r>
              <w:t xml:space="preserve">capacity</w:t>
            </w:r>
            <w:r>
              <w:t xml:space="preserve"> </w:t>
            </w:r>
            <w:r>
              <w:t xml:space="preserve">within</w:t>
            </w:r>
            <w:r>
              <w:t xml:space="preserve"> </w:t>
            </w:r>
            <w:r>
              <w:t xml:space="preserve">government</w:t>
            </w:r>
            <w:r>
              <w:t xml:space="preserve"> </w:t>
            </w:r>
            <w:r>
              <w:t xml:space="preserve">institutions</w:t>
            </w:r>
            <w:r>
              <w:t xml:space="preserve"> </w:t>
            </w:r>
            <w:r>
              <w:t xml:space="preserve">that</w:t>
            </w:r>
            <w:r>
              <w:t xml:space="preserve"> </w:t>
            </w:r>
            <w:r>
              <w:t xml:space="preserve">outlasts</w:t>
            </w:r>
            <w:r>
              <w:t xml:space="preserve"> </w:t>
            </w:r>
            <w:r>
              <w:t xml:space="preserve">the</w:t>
            </w:r>
            <w:r>
              <w:t xml:space="preserve"> </w:t>
            </w:r>
            <w:r>
              <w:t xml:space="preserve">engagement</w:t>
            </w:r>
            <w:r>
              <w:t xml:space="preserve"> </w:t>
            </w:r>
            <w:r>
              <w:t xml:space="preserve">itself.</w:t>
            </w:r>
          </w:p>
        </w:tc>
      </w:tr>
    </w:tbl>
    <w:bookmarkEnd w:id="169"/>
    <w:bookmarkStart w:id="170" w:name="topics-for-examination"/>
    <w:p>
      <w:pPr>
        <w:pStyle w:val="Heading2"/>
      </w:pPr>
      <w:r>
        <w:rPr>
          <w:rStyle w:val="SectionNumber"/>
        </w:rPr>
        <w:t xml:space="preserve">7.2</w:t>
      </w:r>
      <w:r>
        <w:tab/>
      </w:r>
      <w:r>
        <w:t xml:space="preserve">Topics for examination</w:t>
      </w:r>
    </w:p>
    <w:p>
      <w:pPr>
        <w:pStyle w:val="FirstParagraph"/>
      </w:pPr>
      <w:r>
        <w:t xml:space="preserve">The engagement would span six interrelated policy areas:</w:t>
      </w:r>
    </w:p>
    <w:p>
      <w:pPr>
        <w:pStyle w:val="BodyText"/>
      </w:pPr>
      <w:r>
        <w:rPr>
          <w:b/>
          <w:bCs/>
        </w:rPr>
        <w:t xml:space="preserve">Macro-Fiscal Framework:</w:t>
      </w:r>
    </w:p>
    <w:p>
      <w:pPr>
        <w:pStyle w:val="Compact"/>
        <w:numPr>
          <w:ilvl w:val="0"/>
          <w:numId w:val="1001"/>
        </w:numPr>
      </w:pPr>
      <w:r>
        <w:t xml:space="preserve">Fiscal policy, including fiscal federalism and the decentralization framework</w:t>
      </w:r>
    </w:p>
    <w:p>
      <w:pPr>
        <w:pStyle w:val="Compact"/>
        <w:numPr>
          <w:ilvl w:val="0"/>
          <w:numId w:val="1001"/>
        </w:numPr>
      </w:pPr>
      <w:r>
        <w:t xml:space="preserve">Monetary policy</w:t>
      </w:r>
    </w:p>
    <w:p>
      <w:pPr>
        <w:pStyle w:val="Compact"/>
        <w:numPr>
          <w:ilvl w:val="0"/>
          <w:numId w:val="1001"/>
        </w:numPr>
      </w:pPr>
      <w:r>
        <w:t xml:space="preserve">Exchange rate policy</w:t>
      </w:r>
    </w:p>
    <w:p>
      <w:pPr>
        <w:pStyle w:val="FirstParagraph"/>
      </w:pPr>
      <w:r>
        <w:rPr>
          <w:b/>
          <w:bCs/>
        </w:rPr>
        <w:t xml:space="preserve">Export Strategy:</w:t>
      </w:r>
    </w:p>
    <w:p>
      <w:pPr>
        <w:pStyle w:val="Compact"/>
        <w:numPr>
          <w:ilvl w:val="0"/>
          <w:numId w:val="1002"/>
        </w:numPr>
      </w:pPr>
      <w:r>
        <w:t xml:space="preserve">Industrial policy — existing and prospective sectors</w:t>
      </w:r>
    </w:p>
    <w:p>
      <w:pPr>
        <w:pStyle w:val="Compact"/>
        <w:numPr>
          <w:ilvl w:val="0"/>
          <w:numId w:val="1002"/>
        </w:numPr>
      </w:pPr>
      <w:r>
        <w:t xml:space="preserve">Trade policy</w:t>
      </w:r>
    </w:p>
    <w:p>
      <w:pPr>
        <w:pStyle w:val="Compact"/>
        <w:numPr>
          <w:ilvl w:val="0"/>
          <w:numId w:val="1002"/>
        </w:numPr>
      </w:pPr>
      <w:r>
        <w:t xml:space="preserve">Energy policy, with a focus on electricity</w:t>
      </w:r>
    </w:p>
    <w:p>
      <w:pPr>
        <w:pStyle w:val="Compact"/>
        <w:numPr>
          <w:ilvl w:val="0"/>
          <w:numId w:val="1002"/>
        </w:numPr>
      </w:pPr>
      <w:r>
        <w:t xml:space="preserve">Major cities — where growth happens, and the local constraints that hold it back</w:t>
      </w:r>
    </w:p>
    <w:p>
      <w:pPr>
        <w:spacing w:before="173" w:after="173"/>
        <w:pBdr>
          <w:bottom w:val="single" w:sz="4" w:space="1" w:color="DCDCDC"/>
        </w:pBdr>
      </w:pPr>
    </w:p>
    <w:p>
      <w:pPr>
        <w:pStyle w:val="FirstParagraph"/>
      </w:pPr>
      <w:r>
        <w:rPr>
          <w:i/>
          <w:iCs/>
        </w:rPr>
        <w:t xml:space="preserve">This list will expand as the engagement progresses and new priorities surface through the diagnostic process.</w:t>
      </w:r>
    </w:p>
    <w:bookmarkEnd w:id="170"/>
    <w:bookmarkEnd w:id="171"/>
    <w:p>
      <w:pPr>
        <w:pStyle w:val="Heading1"/>
      </w:pPr>
      <w:r>
        <w:rPr>
          <w:rStyle w:val="SectionNumber"/>
        </w:rPr>
        <w:t xml:space="preserve">8</w:t>
      </w:r>
      <w:r>
        <w:tab/>
      </w:r>
      <w:r>
        <w:t xml:space="preserve">References</w:t>
      </w:r>
    </w:p>
    <w:bookmarkStart w:id="176" w:name="refs"/>
    <w:bookmarkStart w:id="172" w:name="ref-hausmann2016"/>
    <w:p>
      <w:pPr>
        <w:pStyle w:val="Bibliography"/>
      </w:pPr>
      <w:r>
        <w:t xml:space="preserve">Hausmann, R., Hidalgo, C.A., Bustos, S., Coscia, M., Simoes, A. and Yildirim, M.A. (2016)</w:t>
      </w:r>
      <w:r>
        <w:t xml:space="preserve"> </w:t>
      </w:r>
      <w:r>
        <w:rPr>
          <w:i/>
          <w:iCs/>
        </w:rPr>
        <w:t xml:space="preserve">The atlas of economic complexity: Mapping paths to prosperity</w:t>
      </w:r>
      <w:r>
        <w:t xml:space="preserve">. MIT Press.</w:t>
      </w:r>
    </w:p>
    <w:bookmarkEnd w:id="172"/>
    <w:bookmarkStart w:id="173" w:name="ref-hausmann2007"/>
    <w:p>
      <w:pPr>
        <w:pStyle w:val="Bibliography"/>
      </w:pPr>
      <w:r>
        <w:t xml:space="preserve">Hausmann, R., Hwang, J. and Rodrik, D. (2007)</w:t>
      </w:r>
      <w:r>
        <w:t xml:space="preserve"> </w:t>
      </w:r>
      <w:r>
        <w:t xml:space="preserve">“What you export matters,”</w:t>
      </w:r>
      <w:r>
        <w:t xml:space="preserve"> </w:t>
      </w:r>
      <w:r>
        <w:rPr>
          <w:i/>
          <w:iCs/>
        </w:rPr>
        <w:t xml:space="preserve">Journal of Economic Growth</w:t>
      </w:r>
      <w:r>
        <w:t xml:space="preserve">, 12(1), pp. 1–25.</w:t>
      </w:r>
    </w:p>
    <w:bookmarkEnd w:id="173"/>
    <w:bookmarkStart w:id="174" w:name="ref-imf2025weo"/>
    <w:p>
      <w:pPr>
        <w:pStyle w:val="Bibliography"/>
      </w:pPr>
      <w:r>
        <w:t xml:space="preserve">International Monetary Fund (2025)</w:t>
      </w:r>
      <w:r>
        <w:t xml:space="preserve"> </w:t>
      </w:r>
      <w:r>
        <w:rPr>
          <w:i/>
          <w:iCs/>
        </w:rPr>
        <w:t xml:space="preserve">World economic outlook, october 2025: Navigating uncertainty</w:t>
      </w:r>
      <w:r>
        <w:t xml:space="preserve">. Washington, DC: International Monetary Fund.</w:t>
      </w:r>
    </w:p>
    <w:bookmarkEnd w:id="174"/>
    <w:bookmarkStart w:id="175" w:name="ref-worldbank2025wdi"/>
    <w:p>
      <w:pPr>
        <w:pStyle w:val="Bibliography"/>
      </w:pPr>
      <w:r>
        <w:t xml:space="preserve">World Bank (2025)</w:t>
      </w:r>
      <w:r>
        <w:t xml:space="preserve"> </w:t>
      </w:r>
      <w:r>
        <w:t xml:space="preserve">“World development indicators.”</w:t>
      </w:r>
      <w:r>
        <w:t xml:space="preserve"> </w:t>
      </w:r>
      <w:r>
        <w:t xml:space="preserve">Online database.</w:t>
      </w:r>
    </w:p>
    <w:bookmarkEnd w:id="175"/>
    <w:bookmarkEnd w:id="176"/>
    <w:sectPr>
      <w:headerReference r:id="rId83" w:type="even"/>
      <w:headerReference r:id="rId84" w:type="default"/>
      <w:footerReference r:id="rId85" w:type="even"/>
      <w:footerReference r:id="rId86" w:type="default"/>
      <w:footnotePr>
        <w:numRestart w:val="eachSect"/>
      </w:footnotePr>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9297" w14:textId="77777777" w:rsidR="00367DDC" w:rsidRDefault="00367DDC" w:rsidP="00F404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7167"/>
      <w:docPartObj>
        <w:docPartGallery w:val="Page Numbers (Bottom of Page)"/>
        <w:docPartUnique/>
      </w:docPartObj>
    </w:sdtPr>
    <w:sdtEndPr>
      <w:rPr>
        <w:noProof/>
      </w:rPr>
    </w:sdtEndPr>
    <w:sdtContent>
      <w:p w14:paraId="5006CC4C" w14:textId="3B4C9D14" w:rsidR="002D5389" w:rsidRPr="00D454CD" w:rsidRDefault="002D5389" w:rsidP="00F4040D">
        <w:pPr>
          <w:pStyle w:val="Footer"/>
        </w:pPr>
        <w:r w:rsidRPr="00D454CD">
          <w:fldChar w:fldCharType="begin"/>
        </w:r>
        <w:r w:rsidRPr="00D454CD">
          <w:instrText xml:space="preserve"> PAGE   \* MERGEFORMAT </w:instrText>
        </w:r>
        <w:r w:rsidRPr="00D454CD">
          <w:fldChar w:fldCharType="separate"/>
        </w:r>
        <w:r w:rsidRPr="00D454CD">
          <w:rPr>
            <w:noProof/>
          </w:rPr>
          <w:t>2</w:t>
        </w:r>
        <w:r w:rsidRPr="00D454CD">
          <w:rPr>
            <w:noProof/>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6A4C" w14:textId="77777777" w:rsidR="00367DDC" w:rsidRDefault="00367DDC" w:rsidP="00F40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37CA" w14:textId="13EE9BC9" w:rsidR="00DB29D9" w:rsidRPr="006106CF" w:rsidRDefault="006106CF" w:rsidP="00F4040D">
    <w:pPr>
      <w:pStyle w:val="Header"/>
    </w:pPr>
    <w:r w:rsidRPr="006106CF">
      <w:rPr>
        <w:noProof/>
      </w:rPr>
      <w:t xml:space="preserve"> </w:t>
    </w:r>
    <w:r w:rsidR="00DB29D9" w:rsidRPr="006106CF">
      <w:rPr>
        <w:noProof/>
      </w:rPr>
      <w:drawing>
        <wp:anchor distT="0" distB="0" distL="114300" distR="114300" simplePos="0" relativeHeight="251658240" behindDoc="1" locked="0" layoutInCell="1" allowOverlap="1" wp14:anchorId="339B41E7" wp14:editId="3800BBB0">
          <wp:simplePos x="0" y="0"/>
          <wp:positionH relativeFrom="column">
            <wp:posOffset>5176300</wp:posOffset>
          </wp:positionH>
          <wp:positionV relativeFrom="paragraph">
            <wp:posOffset>-166977</wp:posOffset>
          </wp:positionV>
          <wp:extent cx="1339850" cy="401320"/>
          <wp:effectExtent l="0" t="0" r="0" b="0"/>
          <wp:wrapNone/>
          <wp:docPr id="525638714" name="Picture 5" descr="A black and white logo&#10;&#10;Description automatically generated">
            <a:extLst xmlns:a="http://schemas.openxmlformats.org/drawingml/2006/main">
              <a:ext uri="{FF2B5EF4-FFF2-40B4-BE49-F238E27FC236}">
                <a16:creationId xmlns:a16="http://schemas.microsoft.com/office/drawing/2014/main" id="{B16B0E43-EE4A-4F26-2742-8448E4A718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ack and white logo&#10;&#10;Description automatically generated">
                    <a:extLst>
                      <a:ext uri="{FF2B5EF4-FFF2-40B4-BE49-F238E27FC236}">
                        <a16:creationId xmlns:a16="http://schemas.microsoft.com/office/drawing/2014/main" id="{B16B0E43-EE4A-4F26-2742-8448E4A7187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39850" cy="40132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3756D2"/>
    <w:multiLevelType w:val="hybridMultilevel"/>
    <w:tmpl w:val="FD58DA2A"/>
    <w:lvl w:ilvl="0" w:tplc="9760E314">
      <w:start w:val="1"/>
      <w:numFmt w:val="lowerRoman"/>
      <w:lvlText w:val="%1."/>
      <w:lvlJc w:val="left"/>
      <w:pPr>
        <w:ind w:hanging="720" w:left="1080"/>
      </w:pPr>
      <w:rPr>
        <w:rFonts w:hint="default"/>
        <w:i/>
        <w:iCs/>
      </w:rPr>
    </w:lvl>
    <w:lvl w:ilvl="1" w:tplc="8AEAB3EE">
      <w:start w:val="1"/>
      <w:numFmt w:val="bullet"/>
      <w:lvlText w:val=""/>
      <w:lvlJc w:val="left"/>
      <w:pPr>
        <w:ind w:hanging="360" w:left="1440"/>
      </w:pPr>
      <w:rPr>
        <w:rFonts w:ascii="Symbol" w:hAnsi="Symbol"/>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08C92FDE"/>
    <w:multiLevelType w:val="multilevel"/>
    <w:tmpl w:val="07DA75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0D396F69"/>
    <w:multiLevelType w:val="multilevel"/>
    <w:tmpl w:val="B9B25E0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12F73024"/>
    <w:multiLevelType w:val="hybridMultilevel"/>
    <w:tmpl w:val="095E9428"/>
    <w:lvl w:ilvl="0" w:tplc="277045C4">
      <w:start w:val="1"/>
      <w:numFmt w:val="lowerRoman"/>
      <w:lvlText w:val="%1."/>
      <w:lvlJc w:val="right"/>
      <w:pPr>
        <w:ind w:hanging="360" w:left="720"/>
      </w:pPr>
    </w:lvl>
    <w:lvl w:ilvl="1" w:tplc="D026EB88">
      <w:start w:val="1"/>
      <w:numFmt w:val="lowerRoman"/>
      <w:lvlText w:val="%2."/>
      <w:lvlJc w:val="right"/>
      <w:pPr>
        <w:ind w:hanging="360" w:left="720"/>
      </w:pPr>
    </w:lvl>
    <w:lvl w:ilvl="2" w:tplc="5C9AFFBA">
      <w:start w:val="1"/>
      <w:numFmt w:val="lowerRoman"/>
      <w:lvlText w:val="%3."/>
      <w:lvlJc w:val="right"/>
      <w:pPr>
        <w:ind w:hanging="360" w:left="720"/>
      </w:pPr>
    </w:lvl>
    <w:lvl w:ilvl="3" w:tplc="10CE1FE2">
      <w:start w:val="1"/>
      <w:numFmt w:val="lowerRoman"/>
      <w:lvlText w:val="%4."/>
      <w:lvlJc w:val="right"/>
      <w:pPr>
        <w:ind w:hanging="360" w:left="720"/>
      </w:pPr>
    </w:lvl>
    <w:lvl w:ilvl="4" w:tplc="A0CADA9A">
      <w:start w:val="1"/>
      <w:numFmt w:val="lowerRoman"/>
      <w:lvlText w:val="%5."/>
      <w:lvlJc w:val="right"/>
      <w:pPr>
        <w:ind w:hanging="360" w:left="720"/>
      </w:pPr>
    </w:lvl>
    <w:lvl w:ilvl="5" w:tplc="D5A6ECDA">
      <w:start w:val="1"/>
      <w:numFmt w:val="lowerRoman"/>
      <w:lvlText w:val="%6."/>
      <w:lvlJc w:val="right"/>
      <w:pPr>
        <w:ind w:hanging="360" w:left="720"/>
      </w:pPr>
    </w:lvl>
    <w:lvl w:ilvl="6" w:tplc="09205DBC">
      <w:start w:val="1"/>
      <w:numFmt w:val="lowerRoman"/>
      <w:lvlText w:val="%7."/>
      <w:lvlJc w:val="right"/>
      <w:pPr>
        <w:ind w:hanging="360" w:left="720"/>
      </w:pPr>
    </w:lvl>
    <w:lvl w:ilvl="7" w:tplc="4AB69F98">
      <w:start w:val="1"/>
      <w:numFmt w:val="lowerRoman"/>
      <w:lvlText w:val="%8."/>
      <w:lvlJc w:val="right"/>
      <w:pPr>
        <w:ind w:hanging="360" w:left="720"/>
      </w:pPr>
    </w:lvl>
    <w:lvl w:ilvl="8" w:tplc="0B588EFA">
      <w:start w:val="1"/>
      <w:numFmt w:val="lowerRoman"/>
      <w:lvlText w:val="%9."/>
      <w:lvlJc w:val="right"/>
      <w:pPr>
        <w:ind w:hanging="360" w:left="720"/>
      </w:pPr>
    </w:lvl>
  </w:abstractNum>
  <w:abstractNum w15:restartNumberingAfterBreak="0" w:abstractNumId="4">
    <w:nsid w:val="22D170F8"/>
    <w:multiLevelType w:val="hybridMultilevel"/>
    <w:tmpl w:val="18003B58"/>
    <w:lvl w:ilvl="0" w:tplc="FB28DF74">
      <w:start w:val="1"/>
      <w:numFmt w:val="lowerLetter"/>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2856127B"/>
    <w:multiLevelType w:val="hybridMultilevel"/>
    <w:tmpl w:val="9EACAAA6"/>
    <w:lvl w:ilvl="0" w:tplc="FFFFFFFF">
      <w:start w:val="1"/>
      <w:numFmt w:val="lowerRoman"/>
      <w:lvlText w:val="%1."/>
      <w:lvlJc w:val="left"/>
      <w:pPr>
        <w:ind w:hanging="720" w:left="1080"/>
      </w:pPr>
      <w:rPr>
        <w:rFonts w:hint="default"/>
        <w:i/>
        <w:iCs/>
      </w:rPr>
    </w:lvl>
    <w:lvl w:ilvl="1" w:tplc="FFFFFFFF">
      <w:start w:val="1"/>
      <w:numFmt w:val="bullet"/>
      <w:lvlText w:val=""/>
      <w:lvlJc w:val="left"/>
      <w:pPr>
        <w:ind w:hanging="360" w:left="1440"/>
      </w:pPr>
      <w:rPr>
        <w:rFonts w:ascii="Symbol" w:hAnsi="Symbol"/>
      </w:r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6">
    <w:nsid w:val="33DB1C84"/>
    <w:multiLevelType w:val="multilevel"/>
    <w:tmpl w:val="4F0CDA0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34AD1DA9"/>
    <w:multiLevelType w:val="multilevel"/>
    <w:tmpl w:val="01241E6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403F63F7"/>
    <w:multiLevelType w:val="multilevel"/>
    <w:tmpl w:val="954288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46ED34C7"/>
    <w:multiLevelType w:val="multilevel"/>
    <w:tmpl w:val="D16A62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4F1F2AF4"/>
    <w:multiLevelType w:val="multilevel"/>
    <w:tmpl w:val="0B38CD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50B3194F"/>
    <w:multiLevelType w:val="multilevel"/>
    <w:tmpl w:val="60F0393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54FD3822"/>
    <w:multiLevelType w:val="hybridMultilevel"/>
    <w:tmpl w:val="7180A78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55DE7B5A"/>
    <w:multiLevelType w:val="multilevel"/>
    <w:tmpl w:val="DE6EA2A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5C480AA0"/>
    <w:multiLevelType w:val="hybridMultilevel"/>
    <w:tmpl w:val="BFEEB670"/>
    <w:lvl w:ilvl="0" w:tplc="8AEAB3EE">
      <w:start w:val="1"/>
      <w:numFmt w:val="bullet"/>
      <w:lvlText w:val=""/>
      <w:lvlJc w:val="left"/>
      <w:pPr>
        <w:ind w:hanging="360" w:left="720"/>
      </w:pPr>
      <w:rPr>
        <w:rFonts w:ascii="Symbol" w:hAnsi="Symbol"/>
      </w:rPr>
    </w:lvl>
    <w:lvl w:ilvl="1" w:tplc="4B44FD16">
      <w:start w:val="1"/>
      <w:numFmt w:val="bullet"/>
      <w:lvlText w:val=""/>
      <w:lvlJc w:val="left"/>
      <w:pPr>
        <w:ind w:hanging="360" w:left="720"/>
      </w:pPr>
      <w:rPr>
        <w:rFonts w:ascii="Symbol" w:hAnsi="Symbol"/>
      </w:rPr>
    </w:lvl>
    <w:lvl w:ilvl="2" w:tplc="CAC4453E">
      <w:start w:val="1"/>
      <w:numFmt w:val="bullet"/>
      <w:lvlText w:val=""/>
      <w:lvlJc w:val="left"/>
      <w:pPr>
        <w:ind w:hanging="360" w:left="720"/>
      </w:pPr>
      <w:rPr>
        <w:rFonts w:ascii="Symbol" w:hAnsi="Symbol"/>
      </w:rPr>
    </w:lvl>
    <w:lvl w:ilvl="3" w:tplc="D09EF356">
      <w:start w:val="1"/>
      <w:numFmt w:val="bullet"/>
      <w:lvlText w:val=""/>
      <w:lvlJc w:val="left"/>
      <w:pPr>
        <w:ind w:hanging="360" w:left="720"/>
      </w:pPr>
      <w:rPr>
        <w:rFonts w:ascii="Symbol" w:hAnsi="Symbol"/>
      </w:rPr>
    </w:lvl>
    <w:lvl w:ilvl="4" w:tplc="DFD44D6A">
      <w:start w:val="1"/>
      <w:numFmt w:val="bullet"/>
      <w:lvlText w:val=""/>
      <w:lvlJc w:val="left"/>
      <w:pPr>
        <w:ind w:hanging="360" w:left="720"/>
      </w:pPr>
      <w:rPr>
        <w:rFonts w:ascii="Symbol" w:hAnsi="Symbol"/>
      </w:rPr>
    </w:lvl>
    <w:lvl w:ilvl="5" w:tplc="3140C474">
      <w:start w:val="1"/>
      <w:numFmt w:val="bullet"/>
      <w:lvlText w:val=""/>
      <w:lvlJc w:val="left"/>
      <w:pPr>
        <w:ind w:hanging="360" w:left="720"/>
      </w:pPr>
      <w:rPr>
        <w:rFonts w:ascii="Symbol" w:hAnsi="Symbol"/>
      </w:rPr>
    </w:lvl>
    <w:lvl w:ilvl="6" w:tplc="3678F2F0">
      <w:start w:val="1"/>
      <w:numFmt w:val="bullet"/>
      <w:lvlText w:val=""/>
      <w:lvlJc w:val="left"/>
      <w:pPr>
        <w:ind w:hanging="360" w:left="720"/>
      </w:pPr>
      <w:rPr>
        <w:rFonts w:ascii="Symbol" w:hAnsi="Symbol"/>
      </w:rPr>
    </w:lvl>
    <w:lvl w:ilvl="7" w:tplc="743EEC1C">
      <w:start w:val="1"/>
      <w:numFmt w:val="bullet"/>
      <w:lvlText w:val=""/>
      <w:lvlJc w:val="left"/>
      <w:pPr>
        <w:ind w:hanging="360" w:left="720"/>
      </w:pPr>
      <w:rPr>
        <w:rFonts w:ascii="Symbol" w:hAnsi="Symbol"/>
      </w:rPr>
    </w:lvl>
    <w:lvl w:ilvl="8" w:tplc="9FFE53FC">
      <w:start w:val="1"/>
      <w:numFmt w:val="bullet"/>
      <w:lvlText w:val=""/>
      <w:lvlJc w:val="left"/>
      <w:pPr>
        <w:ind w:hanging="360" w:left="720"/>
      </w:pPr>
      <w:rPr>
        <w:rFonts w:ascii="Symbol" w:hAnsi="Symbol"/>
      </w:rPr>
    </w:lvl>
  </w:abstractNum>
  <w:abstractNum w15:restartNumberingAfterBreak="0" w:abstractNumId="15">
    <w:nsid w:val="6F4612AE"/>
    <w:multiLevelType w:val="multilevel"/>
    <w:tmpl w:val="7FD0D3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7E0265B2"/>
    <w:multiLevelType w:val="hybridMultilevel"/>
    <w:tmpl w:val="FFC85968"/>
    <w:lvl w:ilvl="0" w:tplc="0409001B">
      <w:start w:val="1"/>
      <w:numFmt w:val="lowerRoman"/>
      <w:lvlText w:val="%1."/>
      <w:lvlJc w:val="righ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13212819" w:numId="1">
    <w:abstractNumId w:val="2"/>
  </w:num>
  <w:num w16cid:durableId="120730619" w:numId="2">
    <w:abstractNumId w:val="1"/>
  </w:num>
  <w:num w16cid:durableId="260769326" w:numId="3">
    <w:abstractNumId w:val="11"/>
  </w:num>
  <w:num w16cid:durableId="1316493551" w:numId="4">
    <w:abstractNumId w:val="13"/>
  </w:num>
  <w:num w16cid:durableId="1516817" w:numId="5">
    <w:abstractNumId w:val="8"/>
  </w:num>
  <w:num w16cid:durableId="2119061284" w:numId="6">
    <w:abstractNumId w:val="9"/>
  </w:num>
  <w:num w16cid:durableId="971440696" w:numId="7">
    <w:abstractNumId w:val="15"/>
  </w:num>
  <w:num w16cid:durableId="1275134696" w:numId="8">
    <w:abstractNumId w:val="10"/>
  </w:num>
  <w:num w16cid:durableId="957680057" w:numId="9">
    <w:abstractNumId w:val="6"/>
  </w:num>
  <w:num w16cid:durableId="1839616883" w:numId="10">
    <w:abstractNumId w:val="7"/>
  </w:num>
  <w:num w16cid:durableId="723214052" w:numId="11">
    <w:abstractNumId w:val="14"/>
  </w:num>
  <w:num w16cid:durableId="1516724529" w:numId="12">
    <w:abstractNumId w:val="16"/>
  </w:num>
  <w:num w16cid:durableId="239097910" w:numId="13">
    <w:abstractNumId w:val="12"/>
  </w:num>
  <w:num w16cid:durableId="1200163841" w:numId="14">
    <w:abstractNumId w:val="0"/>
  </w:num>
  <w:num w16cid:durableId="1405689553" w:numId="15">
    <w:abstractNumId w:val="3"/>
  </w:num>
  <w:num w16cid:durableId="1029137928" w:numId="16">
    <w:abstractNumId w:val="5"/>
  </w:num>
  <w:num w16cid:durableId="1739866365" w:numId="17">
    <w:abstractNumId w:val="4"/>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false"/>
</w:settings>
</file>

<file path=word/styles.xml><?xml version="1.0" encoding="utf-8"?>
<w:styles xmlns:mc="http://schemas.openxmlformats.org/markup-compatibility/2006" xmlns:w="http://schemas.openxmlformats.org/wordprocessingml/2006/main" xmlns:w14="http://schemas.microsoft.com/office/word/2010/wordml" mc:Ignorable="w14 w15 w16se w16cid w16 w16cex w16sdtdh w16sdtfl w16du">
  <w:docDefaults>
    <w:rPrDefault>
      <w:rPr>
        <w:rFonts w:ascii="Source Sans 3" w:cs="Source Sans 3" w:eastAsia="Source Sans 3" w:hAnsi="Source Sans 3"/>
        <w:sz w:val="22"/>
        <w:szCs w:val="22"/>
        <w:color w:val="333333"/>
      </w:rPr>
    </w:rPrDefault>
    <w:pPrDefault>
      <w:pPr>
        <w:spacing w:after="120" w:line="30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4040D"/>
    <w:pPr>
      <w:spacing w:after="120" w:afterAutospacing="1" w:before="100" w:beforeAutospacing="1" w:line="240" w:lineRule="auto"/>
      <w:jc w:val="both"/>
    </w:pPr>
    <w:rPr>
      <w:rFonts w:ascii="Source Sans 3" w:cs="Source Sans 3" w:eastAsia="Source Sans 3" w:hAnsi="Source Sans 3"/>
      <w:sz w:val="22"/>
      <w:szCs w:val="22"/>
      <w:color w:val="333333"/>
    </w:rPr>
  </w:style>
  <w:style w:styleId="Heading1" w:type="paragraph">
    <w:name w:val="heading 1"/>
    <w:basedOn w:val="Normal"/>
    <w:next w:val="Normal"/>
    <w:link w:val="Heading1Char"/>
    <w:uiPriority w:val="9"/>
    <w:qFormat/>
    <w:rsid w:val="003113FB"/>
    <w:pPr>
      <w:pageBreakBefore/>
      <w:keepNext/>
      <w:keepLines/>
      <w:spacing w:after="120" w:before="480"/>
      <w:outlineLvl w:val="0"/>
    </w:pPr>
    <w:rPr>
      <w:b/>
      <w:bCs/>
      <w:rFonts w:ascii="Source Sans 3" w:cs="Source Sans 3" w:eastAsia="Source Sans 3" w:hAnsi="Source Sans 3"/>
      <w:sz w:val="43"/>
      <w:szCs w:val="43"/>
      <w:color w:val="333333"/>
    </w:rPr>
  </w:style>
  <w:style w:styleId="Heading2" w:type="paragraph">
    <w:name w:val="heading 2"/>
    <w:basedOn w:val="Normal"/>
    <w:next w:val="Normal"/>
    <w:link w:val="Heading2Char"/>
    <w:uiPriority w:val="9"/>
    <w:unhideWhenUsed/>
    <w:qFormat/>
    <w:rsid w:val="003113FB"/>
    <w:pPr>
      <w:keepNext/>
      <w:keepLines/>
      <w:spacing w:after="120" w:before="360"/>
      <w:outlineLvl w:val="1"/>
    </w:pPr>
    <w:rPr>
      <w:b/>
      <w:bCs/>
      <w:rFonts w:ascii="Source Sans 3" w:cs="Source Sans 3" w:eastAsia="Source Sans 3" w:hAnsi="Source Sans 3"/>
      <w:sz w:val="34"/>
      <w:szCs w:val="34"/>
      <w:color w:val="333333"/>
    </w:rPr>
  </w:style>
  <w:style w:styleId="Heading3" w:type="paragraph">
    <w:name w:val="heading 3"/>
    <w:basedOn w:val="Normal"/>
    <w:next w:val="Normal"/>
    <w:link w:val="Heading3Char"/>
    <w:uiPriority w:val="9"/>
    <w:unhideWhenUsed/>
    <w:qFormat/>
    <w:rsid w:val="003113FB"/>
    <w:pPr>
      <w:keepNext/>
      <w:keepLines/>
      <w:spacing w:after="120" w:before="240"/>
      <w:outlineLvl w:val="2"/>
    </w:pPr>
    <w:rPr>
      <w:b/>
      <w:bCs/>
      <w:rFonts w:ascii="Source Sans 3" w:cs="Source Sans 3" w:eastAsia="Source Sans 3" w:hAnsi="Source Sans 3"/>
      <w:sz w:val="28"/>
      <w:szCs w:val="28"/>
      <w:color w:val="333333"/>
    </w:rPr>
  </w:style>
  <w:style w:styleId="Heading4" w:type="paragraph">
    <w:name w:val="heading 4"/>
    <w:basedOn w:val="Normal"/>
    <w:next w:val="Normal"/>
    <w:link w:val="Heading4Char"/>
    <w:uiPriority w:val="9"/>
    <w:unhideWhenUsed/>
    <w:qFormat/>
    <w:rsid w:val="00B04F2E"/>
    <w:pPr>
      <w:keepNext/>
      <w:keepLines/>
      <w:spacing w:after="120" w:before="240"/>
      <w:outlineLvl w:val="3"/>
    </w:pPr>
    <w:rPr>
      <w:b/>
      <w:bCs/>
      <w:rFonts w:ascii="Source Sans 3" w:cs="Source Sans 3" w:eastAsia="Source Sans 3" w:hAnsi="Source Sans 3"/>
      <w:sz w:val="22"/>
      <w:szCs w:val="22"/>
      <w:color w:val="333333"/>
    </w:rPr>
  </w:style>
  <w:style w:styleId="Heading5" w:type="paragraph">
    <w:name w:val="heading 5"/>
    <w:basedOn w:val="Normal"/>
    <w:next w:val="Normal"/>
    <w:link w:val="Heading5Char"/>
    <w:uiPriority w:val="9"/>
    <w:semiHidden/>
    <w:unhideWhenUsed/>
    <w:qFormat/>
    <w:rsid w:val="00B04F2E"/>
    <w:pPr>
      <w:keepNext/>
      <w:keepLines/>
      <w:spacing w:after="120" w:before="240"/>
      <w:outlineLvl w:val="4"/>
    </w:pPr>
    <w:rPr>
      <w:rFonts w:ascii="Source Sans 3" w:cs="Source Sans 3" w:eastAsia="Source Sans 3" w:hAnsi="Source Sans 3"/>
      <w:sz w:val="22"/>
      <w:szCs w:val="22"/>
      <w:color w:val="7c7c7c"/>
    </w:rPr>
  </w:style>
  <w:style w:styleId="Heading6" w:type="paragraph">
    <w:name w:val="heading 6"/>
    <w:basedOn w:val="Normal"/>
    <w:next w:val="Normal"/>
    <w:link w:val="Heading6Char"/>
    <w:uiPriority w:val="9"/>
    <w:semiHidden/>
    <w:unhideWhenUsed/>
    <w:qFormat/>
    <w:rsid w:val="00B04F2E"/>
    <w:pPr>
      <w:keepNext/>
      <w:keepLines/>
      <w:spacing w:after="120" w:before="240"/>
      <w:outlineLvl w:val="5"/>
    </w:pPr>
    <w:rPr>
      <w:i/>
      <w:iCs/>
      <w:rFonts w:ascii="Source Sans 3" w:cs="Source Sans 3" w:eastAsia="Source Sans 3" w:hAnsi="Source Sans 3"/>
      <w:sz w:val="22"/>
      <w:szCs w:val="22"/>
      <w:color w:val="7c7c7c"/>
    </w:rPr>
  </w:style>
  <w:style w:styleId="Heading7" w:type="paragraph">
    <w:name w:val="heading 7"/>
    <w:basedOn w:val="Normal"/>
    <w:next w:val="Normal"/>
    <w:link w:val="Heading7Char"/>
    <w:uiPriority w:val="9"/>
    <w:semiHidden/>
    <w:unhideWhenUsed/>
    <w:qFormat/>
    <w:rsid w:val="00B04F2E"/>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B04F2E"/>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B04F2E"/>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113FB"/>
    <w:rPr>
      <w:b/>
      <w:bCs/>
      <w:rFonts w:ascii="Source Sans 3" w:cs="Source Sans 3" w:eastAsia="Source Sans 3" w:hAnsi="Source Sans 3"/>
      <w:sz w:val="43"/>
      <w:szCs w:val="43"/>
      <w:color w:val="333333"/>
    </w:rPr>
    <w:pPr>
      <w:spacing w:after="120" w:before="480"/>
    </w:pPr>
  </w:style>
  <w:style w:customStyle="1" w:styleId="Heading2Char" w:type="character">
    <w:name w:val="Heading 2 Char"/>
    <w:basedOn w:val="DefaultParagraphFont"/>
    <w:link w:val="Heading2"/>
    <w:uiPriority w:val="9"/>
    <w:rsid w:val="003113FB"/>
    <w:rPr>
      <w:b/>
      <w:bCs/>
      <w:rFonts w:ascii="Source Sans 3" w:cs="Source Sans 3" w:eastAsia="Source Sans 3" w:hAnsi="Source Sans 3"/>
      <w:sz w:val="34"/>
      <w:szCs w:val="34"/>
      <w:color w:val="333333"/>
    </w:rPr>
    <w:pPr>
      <w:spacing w:after="120" w:before="360"/>
    </w:pPr>
  </w:style>
  <w:style w:customStyle="1" w:styleId="Heading3Char" w:type="character">
    <w:name w:val="Heading 3 Char"/>
    <w:basedOn w:val="DefaultParagraphFont"/>
    <w:link w:val="Heading3"/>
    <w:uiPriority w:val="9"/>
    <w:rsid w:val="003113FB"/>
    <w:rPr>
      <w:b/>
      <w:bCs/>
      <w:rFonts w:ascii="Source Sans 3" w:cs="Source Sans 3" w:eastAsia="Source Sans 3" w:hAnsi="Source Sans 3"/>
      <w:sz w:val="28"/>
      <w:szCs w:val="28"/>
      <w:color w:val="333333"/>
    </w:rPr>
    <w:pPr>
      <w:spacing w:after="120" w:before="240"/>
    </w:pPr>
  </w:style>
  <w:style w:customStyle="1" w:styleId="Heading4Char" w:type="character">
    <w:name w:val="Heading 4 Char"/>
    <w:basedOn w:val="DefaultParagraphFont"/>
    <w:link w:val="Heading4"/>
    <w:uiPriority w:val="9"/>
    <w:rsid w:val="00B04F2E"/>
    <w:rPr>
      <w:b/>
      <w:bCs/>
      <w:rFonts w:ascii="Source Sans 3" w:cs="Source Sans 3" w:eastAsia="Source Sans 3" w:hAnsi="Source Sans 3"/>
      <w:sz w:val="22"/>
      <w:szCs w:val="22"/>
      <w:color w:val="333333"/>
    </w:rPr>
    <w:pPr>
      <w:spacing w:after="120" w:before="240"/>
    </w:pPr>
  </w:style>
  <w:style w:customStyle="1" w:styleId="Heading5Char" w:type="character">
    <w:name w:val="Heading 5 Char"/>
    <w:basedOn w:val="DefaultParagraphFont"/>
    <w:link w:val="Heading5"/>
    <w:uiPriority w:val="9"/>
    <w:semiHidden/>
    <w:rsid w:val="00B04F2E"/>
    <w:rPr>
      <w:rFonts w:ascii="Source Sans 3" w:cs="Source Sans 3" w:eastAsia="Source Sans 3" w:hAnsi="Source Sans 3"/>
      <w:sz w:val="22"/>
      <w:szCs w:val="22"/>
      <w:color w:val="7c7c7c"/>
    </w:rPr>
    <w:pPr>
      <w:spacing w:after="120" w:before="240"/>
    </w:pPr>
  </w:style>
  <w:style w:customStyle="1" w:styleId="Heading6Char" w:type="character">
    <w:name w:val="Heading 6 Char"/>
    <w:basedOn w:val="DefaultParagraphFont"/>
    <w:link w:val="Heading6"/>
    <w:uiPriority w:val="9"/>
    <w:semiHidden/>
    <w:rsid w:val="00B04F2E"/>
    <w:rPr>
      <w:i/>
      <w:iCs/>
      <w:rFonts w:ascii="Source Sans 3" w:cs="Source Sans 3" w:eastAsia="Source Sans 3" w:hAnsi="Source Sans 3"/>
      <w:sz w:val="22"/>
      <w:szCs w:val="22"/>
      <w:color w:val="7c7c7c"/>
    </w:rPr>
    <w:pPr>
      <w:spacing w:after="120" w:before="240"/>
    </w:pPr>
  </w:style>
  <w:style w:customStyle="1" w:styleId="Heading7Char" w:type="character">
    <w:name w:val="Heading 7 Char"/>
    <w:basedOn w:val="DefaultParagraphFont"/>
    <w:link w:val="Heading7"/>
    <w:uiPriority w:val="9"/>
    <w:semiHidden/>
    <w:rsid w:val="00B04F2E"/>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B04F2E"/>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B04F2E"/>
    <w:rPr>
      <w:rFonts w:cstheme="majorBidi" w:eastAsiaTheme="majorEastAsia"/>
      <w:color w:themeColor="text1" w:themeTint="D8" w:val="272727"/>
    </w:rPr>
  </w:style>
  <w:style w:styleId="Title" w:type="paragraph">
    <w:name w:val="Title"/>
    <w:basedOn w:val="Normal"/>
    <w:next w:val="Normal"/>
    <w:link w:val="TitleChar"/>
    <w:uiPriority w:val="10"/>
    <w:qFormat/>
    <w:rsid w:val="003113FB"/>
    <w:pPr>
      <w:spacing w:after="120" w:line="276" w:lineRule="auto"/>
      <w:jc w:val="center"/>
    </w:pPr>
    <w:rPr>
      <w:b/>
      <w:bCs/>
      <w:rFonts w:ascii="Source Sans 3" w:cs="Source Sans 3" w:eastAsia="Source Sans 3" w:hAnsi="Source Sans 3"/>
      <w:sz w:val="52"/>
      <w:szCs w:val="52"/>
      <w:color w:val="333333"/>
    </w:rPr>
  </w:style>
  <w:style w:customStyle="1" w:styleId="TitleChar" w:type="character">
    <w:name w:val="Title Char"/>
    <w:basedOn w:val="DefaultParagraphFont"/>
    <w:link w:val="Title"/>
    <w:uiPriority w:val="10"/>
    <w:rsid w:val="003113FB"/>
    <w:rPr>
      <w:b/>
      <w:bCs/>
      <w:rFonts w:ascii="Source Sans 3" w:cs="Source Sans 3" w:eastAsia="Source Sans 3" w:hAnsi="Source Sans 3"/>
      <w:sz w:val="52"/>
      <w:szCs w:val="52"/>
      <w:color w:val="333333"/>
    </w:rPr>
    <w:pPr>
      <w:spacing w:after="120"/>
    </w:pPr>
  </w:style>
  <w:style w:styleId="Subtitle" w:type="paragraph">
    <w:name w:val="Subtitle"/>
    <w:basedOn w:val="Normal"/>
    <w:next w:val="Normal"/>
    <w:link w:val="SubtitleChar"/>
    <w:uiPriority w:val="11"/>
    <w:qFormat/>
    <w:rsid w:val="003113FB"/>
    <w:pPr>
      <w:spacing w:after="240"/>
      <w:jc w:val="center"/>
    </w:pPr>
    <w:rPr>
      <w:rFonts w:ascii="Source Sans 3" w:cs="Source Sans 3" w:eastAsia="Source Sans 3" w:hAnsi="Source Sans 3"/>
      <w:sz w:val="32"/>
      <w:szCs w:val="32"/>
      <w:color w:val="7c7c7c"/>
    </w:rPr>
  </w:style>
  <w:style w:customStyle="1" w:styleId="SubtitleChar" w:type="character">
    <w:name w:val="Subtitle Char"/>
    <w:basedOn w:val="DefaultParagraphFont"/>
    <w:link w:val="Subtitle"/>
    <w:uiPriority w:val="11"/>
    <w:rsid w:val="003113FB"/>
    <w:rPr>
      <w:rFonts w:ascii="Source Sans 3" w:cs="Source Sans 3" w:eastAsia="Source Sans 3" w:hAnsi="Source Sans 3"/>
      <w:sz w:val="32"/>
      <w:szCs w:val="32"/>
      <w:color w:val="7c7c7c"/>
    </w:rPr>
    <w:pPr>
      <w:spacing w:after="240"/>
    </w:pPr>
  </w:style>
  <w:style w:styleId="Quote" w:type="paragraph">
    <w:name w:val="Quote"/>
    <w:basedOn w:val="Normal"/>
    <w:next w:val="Normal"/>
    <w:link w:val="QuoteChar"/>
    <w:uiPriority w:val="29"/>
    <w:qFormat/>
    <w:rsid w:val="00B04F2E"/>
    <w:pPr>
      <w:spacing w:after="120" w:before="120"/>
      <w:ind w:left="360" w:right="360"/>
    </w:pPr>
    <w:rPr>
      <w:i/>
      <w:iCs/>
      <w:rFonts w:ascii="Source Sans 3" w:cs="Source Sans 3" w:eastAsia="Source Sans 3" w:hAnsi="Source Sans 3"/>
      <w:sz w:val="22"/>
      <w:szCs w:val="22"/>
      <w:color w:val="7c7c7c"/>
    </w:rPr>
  </w:style>
  <w:style w:customStyle="1" w:styleId="QuoteChar" w:type="character">
    <w:name w:val="Quote Char"/>
    <w:basedOn w:val="DefaultParagraphFont"/>
    <w:link w:val="Quote"/>
    <w:uiPriority w:val="29"/>
    <w:rsid w:val="00B04F2E"/>
    <w:rPr>
      <w:i/>
      <w:iCs/>
      <w:rFonts w:ascii="Source Sans 3" w:cs="Source Sans 3" w:eastAsia="Source Sans 3" w:hAnsi="Source Sans 3"/>
      <w:sz w:val="22"/>
      <w:szCs w:val="22"/>
      <w:color w:val="7c7c7c"/>
    </w:rPr>
    <w:pPr>
      <w:spacing w:after="120" w:before="120"/>
    </w:pPr>
  </w:style>
  <w:style w:styleId="ListParagraph" w:type="paragraph">
    <w:name w:val="List Paragraph"/>
    <w:basedOn w:val="Normal"/>
    <w:uiPriority w:val="34"/>
    <w:qFormat/>
    <w:rsid w:val="00B04F2E"/>
    <w:pPr>
      <w:ind w:left="720"/>
      <w:contextualSpacing/>
    </w:pPr>
  </w:style>
  <w:style w:styleId="IntenseEmphasis" w:type="character">
    <w:name w:val="Intense Emphasis"/>
    <w:uiPriority w:val="21"/>
    <w:qFormat/>
    <w:rsid w:val="003113FB"/>
    <w:rPr>
      <w:rFonts w:ascii="Garamond" w:hAnsi="Garamond"/>
      <w:i/>
      <w:iCs/>
      <w:u w:val="single"/>
    </w:rPr>
  </w:style>
  <w:style w:styleId="IntenseQuote" w:type="paragraph">
    <w:name w:val="Intense Quote"/>
    <w:basedOn w:val="Normal"/>
    <w:next w:val="Normal"/>
    <w:link w:val="IntenseQuoteChar"/>
    <w:uiPriority w:val="30"/>
    <w:qFormat/>
    <w:rsid w:val="00B04F2E"/>
    <w:pPr>
      <w:pBdr>
        <w:top w:color="0F4761" w:space="10" w:sz="4" w:themeColor="accent1" w:themeShade="BF" w:val="single"/>
        <w:bottom w:color="0F4761" w:space="10" w:sz="4" w:themeColor="accent1" w:themeShade="BF" w:val="single"/>
      </w:pBdr>
      <w:spacing w:after="120" w:before="120"/>
      <w:ind w:left="864" w:right="864"/>
      <w:jc w:val="center"/>
    </w:pPr>
    <w:rPr>
      <w:i/>
      <w:iCs/>
      <w:rFonts w:ascii="Source Sans 3" w:cs="Source Sans 3" w:eastAsia="Source Sans 3" w:hAnsi="Source Sans 3"/>
      <w:sz w:val="22"/>
      <w:szCs w:val="22"/>
      <w:color w:val="266798"/>
    </w:rPr>
  </w:style>
  <w:style w:customStyle="1" w:styleId="IntenseQuoteChar" w:type="character">
    <w:name w:val="Intense Quote Char"/>
    <w:basedOn w:val="DefaultParagraphFont"/>
    <w:link w:val="IntenseQuote"/>
    <w:uiPriority w:val="30"/>
    <w:rsid w:val="00B04F2E"/>
    <w:rPr>
      <w:i/>
      <w:iCs/>
      <w:rFonts w:ascii="Source Sans 3" w:cs="Source Sans 3" w:eastAsia="Source Sans 3" w:hAnsi="Source Sans 3"/>
      <w:sz w:val="22"/>
      <w:szCs w:val="22"/>
      <w:color w:val="266798"/>
    </w:rPr>
    <w:pPr>
      <w:spacing w:after="120" w:before="120"/>
    </w:pPr>
  </w:style>
  <w:style w:styleId="IntenseReference" w:type="character">
    <w:name w:val="Intense Reference"/>
    <w:basedOn w:val="DefaultParagraphFont"/>
    <w:uiPriority w:val="32"/>
    <w:qFormat/>
    <w:rsid w:val="00B04F2E"/>
    <w:rPr>
      <w:b/>
      <w:bCs/>
      <w:smallCaps/>
      <w:color w:themeColor="accent1" w:themeShade="BF" w:val="0F4761"/>
      <w:spacing w:val="5"/>
    </w:rPr>
  </w:style>
  <w:style w:styleId="Header" w:type="paragraph">
    <w:name w:val="header"/>
    <w:basedOn w:val="Normal"/>
    <w:link w:val="HeaderChar"/>
    <w:uiPriority w:val="99"/>
    <w:unhideWhenUsed/>
    <w:rsid w:val="00DB29D9"/>
    <w:pPr>
      <w:tabs>
        <w:tab w:pos="4680" w:val="center"/>
        <w:tab w:pos="9360" w:val="right"/>
      </w:tabs>
      <w:spacing w:after="0"/>
    </w:pPr>
    <w:rPr>
      <w:rFonts w:ascii="JetBrains Mono" w:cs="JetBrains Mono" w:eastAsia="JetBrains Mono" w:hAnsi="JetBrains Mono"/>
      <w:sz w:val="16"/>
      <w:szCs w:val="16"/>
      <w:color w:val="7c7c7c"/>
    </w:rPr>
  </w:style>
  <w:style w:customStyle="1" w:styleId="HeaderChar" w:type="character">
    <w:name w:val="Header Char"/>
    <w:basedOn w:val="DefaultParagraphFont"/>
    <w:link w:val="Header"/>
    <w:uiPriority w:val="99"/>
    <w:rsid w:val="00DB29D9"/>
  </w:style>
  <w:style w:styleId="Footer" w:type="paragraph">
    <w:name w:val="footer"/>
    <w:basedOn w:val="Normal"/>
    <w:link w:val="FooterChar"/>
    <w:uiPriority w:val="99"/>
    <w:unhideWhenUsed/>
    <w:rsid w:val="00DB29D9"/>
    <w:pPr>
      <w:tabs>
        <w:tab w:pos="4680" w:val="center"/>
        <w:tab w:pos="9360" w:val="right"/>
      </w:tabs>
      <w:spacing w:after="0"/>
    </w:pPr>
    <w:rPr>
      <w:rFonts w:ascii="JetBrains Mono" w:cs="JetBrains Mono" w:eastAsia="JetBrains Mono" w:hAnsi="JetBrains Mono"/>
      <w:sz w:val="16"/>
      <w:szCs w:val="16"/>
      <w:color w:val="7c7c7c"/>
    </w:rPr>
  </w:style>
  <w:style w:customStyle="1" w:styleId="FooterChar" w:type="character">
    <w:name w:val="Footer Char"/>
    <w:basedOn w:val="DefaultParagraphFont"/>
    <w:link w:val="Footer"/>
    <w:uiPriority w:val="99"/>
    <w:rsid w:val="00DB29D9"/>
  </w:style>
  <w:style w:styleId="Strong" w:type="character">
    <w:name w:val="Strong"/>
    <w:basedOn w:val="DefaultParagraphFont"/>
    <w:uiPriority w:val="22"/>
    <w:qFormat/>
    <w:rsid w:val="007F74C6"/>
    <w:rPr>
      <w:b/>
      <w:bCs/>
    </w:rPr>
  </w:style>
  <w:style w:styleId="CommentReference" w:type="character">
    <w:name w:val="annotation reference"/>
    <w:basedOn w:val="DefaultParagraphFont"/>
    <w:uiPriority w:val="99"/>
    <w:semiHidden/>
    <w:unhideWhenUsed/>
    <w:rsid w:val="00320392"/>
    <w:rPr>
      <w:sz w:val="16"/>
      <w:szCs w:val="16"/>
    </w:rPr>
  </w:style>
  <w:style w:styleId="CommentText" w:type="paragraph">
    <w:name w:val="annotation text"/>
    <w:basedOn w:val="Normal"/>
    <w:link w:val="CommentTextChar"/>
    <w:uiPriority w:val="99"/>
    <w:unhideWhenUsed/>
    <w:rsid w:val="00320392"/>
    <w:rPr>
      <w:rFonts w:eastAsiaTheme="minorEastAsia"/>
      <w:kern w:val="0"/>
      <w:sz w:val="20"/>
      <w:szCs w:val="20"/>
      <w:lang w:eastAsia="ja-JP"/>
    </w:rPr>
  </w:style>
  <w:style w:customStyle="1" w:styleId="CommentTextChar" w:type="character">
    <w:name w:val="Comment Text Char"/>
    <w:basedOn w:val="DefaultParagraphFont"/>
    <w:link w:val="CommentText"/>
    <w:uiPriority w:val="99"/>
    <w:rsid w:val="00320392"/>
    <w:rPr>
      <w:rFonts w:eastAsiaTheme="minorEastAsia"/>
      <w:kern w:val="0"/>
      <w:sz w:val="20"/>
      <w:szCs w:val="20"/>
      <w:lang w:eastAsia="ja-JP"/>
    </w:rPr>
  </w:style>
  <w:style w:styleId="CommentSubject" w:type="paragraph">
    <w:name w:val="annotation subject"/>
    <w:basedOn w:val="CommentText"/>
    <w:next w:val="CommentText"/>
    <w:link w:val="CommentSubjectChar"/>
    <w:uiPriority w:val="99"/>
    <w:semiHidden/>
    <w:unhideWhenUsed/>
    <w:rsid w:val="00E02573"/>
    <w:rPr>
      <w:rFonts w:eastAsiaTheme="minorHAnsi"/>
      <w:b/>
      <w:bCs/>
      <w:kern w:val="2"/>
      <w:lang w:eastAsia="en-US"/>
    </w:rPr>
  </w:style>
  <w:style w:customStyle="1" w:styleId="CommentSubjectChar" w:type="character">
    <w:name w:val="Comment Subject Char"/>
    <w:basedOn w:val="CommentTextChar"/>
    <w:link w:val="CommentSubject"/>
    <w:uiPriority w:val="99"/>
    <w:semiHidden/>
    <w:rsid w:val="00E02573"/>
    <w:rPr>
      <w:rFonts w:eastAsiaTheme="minorEastAsia"/>
      <w:b/>
      <w:bCs/>
      <w:kern w:val="0"/>
      <w:sz w:val="20"/>
      <w:szCs w:val="20"/>
      <w:lang w:eastAsia="ja-JP"/>
    </w:rPr>
  </w:style>
  <w:style w:styleId="TableGrid" w:type="table">
    <w:name w:val="Table Grid"/>
    <w:basedOn w:val="TableNormal"/>
    <w:uiPriority w:val="39"/>
    <w:rsid w:val="00EA3C7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rsid w:val="00D3025A"/>
    <w:rPr>
      <w:rFonts w:ascii="Times New Roman" w:cs="Times New Roman" w:eastAsia="Times New Roman" w:hAnsi="Times New Roman"/>
      <w:kern w:val="0"/>
    </w:rPr>
  </w:style>
  <w:style w:styleId="Emphasis" w:type="character">
    <w:name w:val="Emphasis"/>
    <w:basedOn w:val="DefaultParagraphFont"/>
    <w:uiPriority w:val="20"/>
    <w:qFormat/>
    <w:rsid w:val="00D3025A"/>
    <w:rPr>
      <w:i/>
      <w:iCs/>
    </w:rPr>
  </w:style>
  <w:style w:styleId="Revision" w:type="paragraph">
    <w:name w:val="Revision"/>
    <w:hidden/>
    <w:uiPriority w:val="99"/>
    <w:semiHidden/>
    <w:rsid w:val="00905C59"/>
    <w:pPr>
      <w:spacing w:after="0" w:line="240" w:lineRule="auto"/>
    </w:pPr>
  </w:style>
  <w:style w:styleId="Hyperlink" w:type="character">
    <w:name w:val="Hyperlink"/>
    <w:basedOn w:val="DefaultParagraphFont"/>
    <w:uiPriority w:val="99"/>
    <w:unhideWhenUsed/>
    <w:rsid w:val="00093C50"/>
    <w:rPr>
      <w:color w:themeColor="hyperlink" w:val="467886"/>
      <w:u w:val="single"/>
    </w:rPr>
  </w:style>
  <w:style w:styleId="UnresolvedMention" w:type="character">
    <w:name w:val="Unresolved Mention"/>
    <w:basedOn w:val="DefaultParagraphFont"/>
    <w:uiPriority w:val="99"/>
    <w:semiHidden/>
    <w:unhideWhenUsed/>
    <w:rsid w:val="00093C50"/>
    <w:rPr>
      <w:color w:val="605E5C"/>
      <w:shd w:color="auto" w:fill="E1DFDD" w:val="clear"/>
    </w:rPr>
  </w:style>
  <w:style w:styleId="FootnoteText" w:type="paragraph">
    <w:name w:val="footnote text"/>
    <w:basedOn w:val="Normal"/>
    <w:link w:val="FootnoteTextChar"/>
    <w:uiPriority w:val="99"/>
    <w:unhideWhenUsed/>
    <w:rsid w:val="00CB55B5"/>
    <w:pPr>
      <w:spacing w:after="60"/>
    </w:pPr>
    <w:rPr>
      <w:rFonts w:ascii="Source Sans 3" w:cs="Source Sans 3" w:eastAsia="Source Sans 3" w:hAnsi="Source Sans 3"/>
      <w:kern w:val="0"/>
      <w:lang w:eastAsia="ja-JP"/>
      <w:sz w:val="18"/>
      <w:szCs w:val="18"/>
      <w:color w:val="7c7c7c"/>
    </w:rPr>
  </w:style>
  <w:style w:customStyle="1" w:styleId="FootnoteTextChar" w:type="character">
    <w:name w:val="Footnote Text Char"/>
    <w:basedOn w:val="DefaultParagraphFont"/>
    <w:link w:val="FootnoteText"/>
    <w:uiPriority w:val="99"/>
    <w:rsid w:val="00CB55B5"/>
    <w:rPr>
      <w:rFonts w:ascii="Source Sans 3" w:cs="Source Sans 3" w:eastAsia="Source Sans 3" w:hAnsi="Source Sans 3"/>
      <w:kern w:val="0"/>
      <w:lang w:eastAsia="ja-JP"/>
      <w:sz w:val="18"/>
      <w:szCs w:val="18"/>
      <w:color w:val="7c7c7c"/>
    </w:rPr>
    <w:pPr>
      <w:spacing w:after="60"/>
    </w:pPr>
  </w:style>
  <w:style w:styleId="FootnoteReference" w:type="character">
    <w:name w:val="footnote reference"/>
    <w:basedOn w:val="DefaultParagraphFont"/>
    <w:uiPriority w:val="99"/>
    <w:semiHidden/>
    <w:unhideWhenUsed/>
    <w:rsid w:val="00CB55B5"/>
    <w:rPr>
      <w:vertAlign w:val="superscript"/>
    </w:rPr>
  </w:style>
  <w:style w:styleId="Mention" w:type="character">
    <w:name w:val="Mention"/>
    <w:basedOn w:val="DefaultParagraphFont"/>
    <w:uiPriority w:val="99"/>
    <w:unhideWhenUsed/>
    <w:rsid w:val="00E348E3"/>
    <w:rPr>
      <w:color w:val="2B579A"/>
      <w:shd w:color="auto" w:fill="E1DFDD" w:val="clear"/>
    </w:rPr>
  </w:style>
  <w:style w:styleId="Caption" w:type="paragraph">
    <w:name w:val="caption"/>
    <w:basedOn w:val="Normal"/>
    <w:next w:val="Normal"/>
    <w:uiPriority w:val="35"/>
    <w:unhideWhenUsed/>
    <w:qFormat/>
    <w:rsid w:val="003113FB"/>
    <w:pPr>
      <w:spacing w:after="120" w:before="60"/>
    </w:pPr>
    <w:rPr>
      <w:rFonts w:ascii="JetBrains Mono" w:cs="JetBrains Mono" w:eastAsia="JetBrains Mono" w:hAnsi="JetBrains Mono"/>
      <w:kern w:val="0"/>
      <w14:ligatures w14:val="none"/>
      <w:sz w:val="17"/>
      <w:szCs w:val="17"/>
      <w:color w:val="7c7c7c"/>
    </w:rPr>
  </w:style>
  <w:style w:customStyle="1" w:styleId="Source" w:type="paragraph">
    <w:name w:val="Source"/>
    <w:basedOn w:val="Normal"/>
    <w:link w:val="SourceChar"/>
    <w:qFormat/>
    <w:rsid w:val="00D70F4B"/>
    <w:rPr>
      <w:i/>
      <w:iCs/>
      <w:rFonts w:ascii="JetBrains Mono" w:cs="JetBrains Mono" w:eastAsia="JetBrains Mono" w:hAnsi="JetBrains Mono"/>
      <w:sz w:val="17"/>
      <w:szCs w:val="17"/>
      <w:color w:val="7c7c7c"/>
    </w:rPr>
    <w:pPr>
      <w:spacing w:after="240" w:before="60"/>
    </w:pPr>
  </w:style>
  <w:style w:customStyle="1" w:styleId="SourceChar" w:type="character">
    <w:name w:val="Source Char"/>
    <w:basedOn w:val="DefaultParagraphFont"/>
    <w:link w:val="Source"/>
    <w:rsid w:val="00D70F4B"/>
    <w:rPr>
      <w:i/>
      <w:iCs/>
      <w:rFonts w:ascii="JetBrains Mono" w:cs="JetBrains Mono" w:eastAsia="JetBrains Mono" w:hAnsi="JetBrains Mono"/>
      <w:sz w:val="17"/>
      <w:szCs w:val="17"/>
      <w:color w:val="7c7c7c"/>
    </w:rPr>
    <w:pPr>
      <w:spacing w:after="240" w:before="60"/>
    </w:pPr>
  </w:style>
  <w:style w:styleId="GridTable1Light" w:type="table">
    <w:name w:val="Grid Table 1 Light"/>
    <w:basedOn w:val="TableNormal"/>
    <w:uiPriority w:val="46"/>
    <w:rsid w:val="00D70F4B"/>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TOCHeading" w:type="paragraph">
    <w:name w:val="TOC Heading"/>
    <w:basedOn w:val="Heading1"/>
    <w:next w:val="Normal"/>
    <w:uiPriority w:val="39"/>
    <w:unhideWhenUsed/>
    <w:qFormat/>
    <w:rsid w:val="00355818"/>
    <w:pPr>
      <w:pageBreakBefore/>
      <w:spacing w:after="120" w:before="480" w:line="259" w:lineRule="auto"/>
      <w:outlineLvl w:val="9"/>
    </w:pPr>
    <w:rPr>
      <w:b/>
      <w:bCs/>
      <w:rFonts w:ascii="Source Sans 3" w:cs="Source Sans 3" w:eastAsia="Source Sans 3" w:hAnsi="Source Sans 3"/>
      <w:kern w:val="0"/>
      <w:sz w:val="34"/>
      <w:szCs w:val="34"/>
      <w:color w:val="333333"/>
    </w:rPr>
  </w:style>
  <w:style w:styleId="TOC1" w:type="paragraph">
    <w:name w:val="toc 1"/>
    <w:basedOn w:val="Normal"/>
    <w:next w:val="Normal"/>
    <w:autoRedefine/>
    <w:uiPriority w:val="39"/>
    <w:unhideWhenUsed/>
    <w:rsid w:val="00A4462F"/>
    <w:pPr>
      <w:tabs>
        <w:tab w:leader="dot" w:pos="9638" w:val="right"/>
      </w:tabs>
      <w:spacing w:after="60" w:before="120"/>
    </w:pPr>
    <w:rPr>
      <w:b/>
      <w:bCs/>
      <w:rFonts w:ascii="Source Sans 3" w:cs="Source Sans 3" w:eastAsia="Source Sans 3" w:hAnsi="Source Sans 3"/>
      <w:noProof/>
      <w:sz w:val="22"/>
      <w:szCs w:val="22"/>
      <w:color w:val="333333"/>
    </w:rPr>
  </w:style>
  <w:style w:styleId="TOC2" w:type="paragraph">
    <w:name w:val="toc 2"/>
    <w:basedOn w:val="Normal"/>
    <w:next w:val="Normal"/>
    <w:autoRedefine/>
    <w:uiPriority w:val="39"/>
    <w:unhideWhenUsed/>
    <w:rsid w:val="00355818"/>
    <w:pPr>
      <w:ind w:left="240"/>
      <w:spacing w:after="60" w:before="60"/>
    </w:pPr>
    <w:rPr>
      <w:rFonts w:ascii="Source Sans 3" w:cs="Source Sans 3" w:eastAsia="Source Sans 3" w:hAnsi="Source Sans 3"/>
      <w:sz w:val="22"/>
      <w:szCs w:val="22"/>
      <w:color w:val="333333"/>
    </w:rPr>
  </w:style>
  <w:style w:styleId="TOC3" w:type="paragraph">
    <w:name w:val="toc 3"/>
    <w:basedOn w:val="Normal"/>
    <w:next w:val="Normal"/>
    <w:autoRedefine/>
    <w:uiPriority w:val="39"/>
    <w:unhideWhenUsed/>
    <w:rsid w:val="00355818"/>
    <w:pPr>
      <w:ind w:left="480"/>
      <w:spacing w:after="60" w:before="60"/>
    </w:pPr>
    <w:rPr>
      <w:rFonts w:ascii="Source Sans 3" w:cs="Source Sans 3" w:eastAsia="Source Sans 3" w:hAnsi="Source Sans 3"/>
      <w:sz w:val="20"/>
      <w:szCs w:val="20"/>
      <w:color w:val="7c7c7c"/>
    </w:rPr>
  </w:style>
  <w:style w:customStyle="1" w:styleId="cf01" w:type="character">
    <w:name w:val="cf01"/>
    <w:basedOn w:val="DefaultParagraphFont"/>
    <w:rsid w:val="0082763A"/>
    <w:rPr>
      <w:rFonts w:ascii="Segoe UI" w:cs="Segoe UI" w:hAnsi="Segoe UI" w:hint="default"/>
      <w:sz w:val="18"/>
      <w:szCs w:val="18"/>
    </w:rPr>
  </w:style>
  <w:style w:styleId="TOC4" w:type="paragraph">
    <w:name w:val="toc 4"/>
    <w:basedOn w:val="Normal"/>
    <w:next w:val="Normal"/>
    <w:autoRedefine/>
    <w:uiPriority w:val="39"/>
    <w:unhideWhenUsed/>
    <w:rsid w:val="00BA70DA"/>
    <w:pPr>
      <w:ind w:left="720"/>
    </w:pPr>
  </w:style>
  <w:style w:customStyle="1" w:styleId="FigureTitle" w:type="paragraph">
    <w:name w:val="Figure Title"/>
    <w:basedOn w:val="Normal"/>
    <w:link w:val="FigureTitleChar"/>
    <w:qFormat/>
    <w:rsid w:val="00861429"/>
    <w:pPr>
      <w:spacing w:after="60" w:before="240"/>
      <w:jc w:val="center"/>
      <w:keepNext/>
    </w:pPr>
    <w:rPr>
      <w:b/>
      <w:bCs/>
      <w:rFonts w:ascii="Source Sans 3" w:cs="Source Sans 3" w:eastAsia="Source Sans 3" w:hAnsi="Source Sans 3"/>
      <w:kern w:val="0"/>
      <w14:ligatures w14:val="none"/>
      <w:sz w:val="22"/>
      <w:szCs w:val="22"/>
      <w:color w:val="333333"/>
    </w:rPr>
  </w:style>
  <w:style w:customStyle="1" w:styleId="FigureTitleChar" w:type="character">
    <w:name w:val="Figure Title Char"/>
    <w:basedOn w:val="DefaultParagraphFont"/>
    <w:link w:val="FigureTitle"/>
    <w:rsid w:val="00861429"/>
    <w:rPr>
      <w:b/>
      <w:bCs/>
      <w:rFonts w:ascii="Source Sans 3" w:cs="Source Sans 3" w:eastAsia="Source Sans 3" w:hAnsi="Source Sans 3"/>
      <w:kern w:val="0"/>
      <w14:ligatures w14:val="none"/>
      <w:sz w:val="22"/>
      <w:szCs w:val="22"/>
      <w:color w:val="333333"/>
    </w:rPr>
    <w:pPr>
      <w:spacing w:after="60" w:before="240"/>
    </w:pPr>
  </w:style>
  <w:style w:customStyle="1" w:styleId="FigureImage" w:type="paragraph">
    <w:name w:val="Figure Image"/>
    <w:basedOn w:val="Normal"/>
    <w:qFormat/>
    <w:pPr>
      <w:keepNext/>
      <w:jc w:val="center"/>
      <w:spacing w:after="0"/>
    </w:pPr>
  </w:style>
  <w:style w:customStyle="1" w:styleId="FigureSource" w:type="paragraph">
    <w:name w:val="Figure Source"/>
    <w:basedOn w:val="Normal"/>
    <w:qFormat/>
    <w:pPr>
      <w:spacing w:after="240" w:before="60"/>
    </w:pPr>
    <w:rPr>
      <w:i/>
      <w:iCs/>
      <w:rFonts w:ascii="JetBrains Mono" w:cs="JetBrains Mono" w:eastAsia="JetBrains Mono" w:hAnsi="JetBrains Mono"/>
      <w:sz w:val="17"/>
      <w:szCs w:val="17"/>
      <w:color w:val="7c7c7c"/>
    </w:rPr>
  </w:style>
  <w:style w:styleId="Table" w:type="table">
    <w:name w:val="Table"/>
    <w:tblPr>
      <w:tblBorders>
        <w:top w:color="auto" w:space="0" w:sz="0" w:val="none"/>
        <w:left w:color="auto" w:space="0" w:sz="0" w:val="none"/>
        <w:bottom w:color="auto" w:space="0" w:sz="0" w:val="none"/>
        <w:right w:color="auto" w:space="0" w:sz="0" w:val="none"/>
        <w:insideH w:color="auto" w:space="0" w:sz="0" w:val="none"/>
        <w:insideV w:color="auto" w:space="0" w:sz="0" w:val="none"/>
      </w:tblBorders>
      <w:tblCellMar>
        <w:top w:type="dxa" w:w="0"/>
        <w:bottom w:type="dxa" w:w="0"/>
        <w:left w:type="dxa" w:w="72"/>
        <w:right w:type="dxa" w:w="72"/>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4" Target="numbering.xml" /><Relationship Type="http://schemas.openxmlformats.org/officeDocument/2006/relationships/styles" Id="rId93" Target="styles.xml" /><Relationship Type="http://schemas.openxmlformats.org/officeDocument/2006/relationships/settings" Id="rId92" Target="settings.xml" /><Relationship Type="http://schemas.openxmlformats.org/officeDocument/2006/relationships/webSettings" Id="rId91" Target="webSettings.xml" /><Relationship Type="http://schemas.openxmlformats.org/officeDocument/2006/relationships/fontTable" Id="rId90" Target="fontTable.xml" /><Relationship Type="http://schemas.openxmlformats.org/officeDocument/2006/relationships/theme" Id="rId89" Target="theme/theme1.xml" /><Relationship Type="http://schemas.openxmlformats.org/officeDocument/2006/relationships/footnotes" Id="rId88" Target="footnotes.xml" /><Relationship Type="http://schemas.openxmlformats.org/officeDocument/2006/relationships/comments" Id="rId87" Target="comments.xml" /><Relationship Id="rId83" Target="header1.xml" Type="http://schemas.openxmlformats.org/officeDocument/2006/relationships/header" /><Relationship Id="rId84" Target="header2.xml" Type="http://schemas.openxmlformats.org/officeDocument/2006/relationships/header" /><Relationship Id="rId85" Target="footer1.xml" Type="http://schemas.openxmlformats.org/officeDocument/2006/relationships/footer" /><Relationship Id="rId86" Target="footer2.xml" Type="http://schemas.openxmlformats.org/officeDocument/2006/relationships/footer" /><Relationship Type="http://schemas.openxmlformats.org/officeDocument/2006/relationships/image" Id="rId105" Target="media/rId105.png" /><Relationship Type="http://schemas.openxmlformats.org/officeDocument/2006/relationships/image" Id="rId157" Target="media/rId157.png" /><Relationship Type="http://schemas.openxmlformats.org/officeDocument/2006/relationships/image" Id="rId146" Target="media/rId146.png" /><Relationship Type="http://schemas.openxmlformats.org/officeDocument/2006/relationships/image" Id="rId113" Target="media/rId113.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29" Target="media/rId129.png" /><Relationship Type="http://schemas.openxmlformats.org/officeDocument/2006/relationships/image" Id="rId141" Target="media/rId141.png" /><Relationship Type="http://schemas.openxmlformats.org/officeDocument/2006/relationships/image" Id="rId162" Target="media/rId162.png" /><Relationship Type="http://schemas.openxmlformats.org/officeDocument/2006/relationships/image" Id="rId154" Target="media/rId154.png" /><Relationship Type="http://schemas.openxmlformats.org/officeDocument/2006/relationships/image" Id="rId150" Target="media/rId150.png" /><Relationship Type="http://schemas.openxmlformats.org/officeDocument/2006/relationships/image" Id="rId100" Target="media/rId100.png" /><Relationship Type="http://schemas.openxmlformats.org/officeDocument/2006/relationships/image" Id="rId165" Target="media/rId165.png" /><Relationship Type="http://schemas.openxmlformats.org/officeDocument/2006/relationships/image" Id="rId124" Target="media/rId124.png" /><Relationship Type="http://schemas.openxmlformats.org/officeDocument/2006/relationships/image" Id="rId96" Target="media/rId96.png" /><Relationship Type="http://schemas.openxmlformats.org/officeDocument/2006/relationships/image" Id="rId120" Target="media/rId120.png" /><Relationship Type="http://schemas.openxmlformats.org/officeDocument/2006/relationships/image" Id="rId116" Target="media/rId116.png" /><Relationship Type="http://schemas.openxmlformats.org/officeDocument/2006/relationships/image" Id="rId109" Target="media/rId109.png" /></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Growth Lab">
  <a:themeElements>
    <a:clrScheme name="Growth Lab">
      <a:dk1>
        <a:sysClr val="windowText" lastClr="333333"/>
      </a:dk1>
      <a:lt1>
        <a:sysClr val="window" lastClr="FFFFFF"/>
      </a:lt1>
      <a:dk2>
        <a:srgbClr val="266798"/>
      </a:dk2>
      <a:lt2>
        <a:srgbClr val="F3F3F3"/>
      </a:lt2>
      <a:accent1>
        <a:srgbClr val="266798"/>
      </a:accent1>
      <a:accent2>
        <a:srgbClr val="C64646"/>
      </a:accent2>
      <a:accent3>
        <a:srgbClr val="36B250"/>
      </a:accent3>
      <a:accent4>
        <a:srgbClr val="EAC218"/>
      </a:accent4>
      <a:accent5>
        <a:srgbClr val="D1852A"/>
      </a:accent5>
      <a:accent6>
        <a:srgbClr val="52E2DE"/>
      </a:accent6>
      <a:hlink>
        <a:srgbClr val="266798"/>
      </a:hlink>
      <a:folHlink>
        <a:srgbClr val="7c7c7c"/>
      </a:folHlink>
    </a:clrScheme>
    <a:fontScheme name="Growth Lab">
      <a:majorFont>
        <a:latin typeface="Source Sans 3"/>
        <a:ea typeface=""/>
        <a:cs typeface=""/>
        <a:font script="Arab" typeface="Arial"/>
        <a:font script="Hebr" typeface="Arial"/>
      </a:majorFont>
      <a:minorFont>
        <a:latin typeface="Source Sans 3"/>
        <a:ea typeface=""/>
        <a:cs typeface=""/>
        <a:font script="Arab" typeface="Arial"/>
        <a:font script="Hebr" typeface="Arial"/>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Stabilization to Transformation</dc:title>
  <dc:creator/>
  <cp:keywords/>
  <dcterms:created xsi:type="dcterms:W3CDTF">2026-06-03T20:51:55Z</dcterms:created>
  <dcterms:modified xsi:type="dcterms:W3CDTF">2026-06-03T20:51:55Z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./references.bib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/home/taimur/dev/gl-design/skills/md2docx/scripts/../assets/citation-style.csl</vt:lpwstr>
  </property>
  <property fmtid="{D5CDD505-2E9C-101B-9397-08002B2CF9AE}" pid="15" name="date">
    <vt:lpwstr>April 2026</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eries">
    <vt:lpwstr>Growth Lab Working Paper Series</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A Growth Diagnostics Brief on Pakistan</vt:lpwstr>
  </property>
  <property fmtid="{D5CDD505-2E9C-101B-9397-08002B2CF9AE}" pid="69" name="tableEqns">
    <vt:lpwstr>False</vt:lpwstr>
  </property>
  <property fmtid="{D5CDD505-2E9C-101B-9397-08002B2CF9AE}" pid="70" name="tableTemplate">
    <vt:lpwstr>tableTitle ititleDelim t</vt:lpwstr>
  </property>
  <property fmtid="{D5CDD505-2E9C-101B-9397-08002B2CF9AE}" pid="71" name="tableTitle">
    <vt:lpwstr>Table</vt:lpwstr>
  </property>
  <property fmtid="{D5CDD505-2E9C-101B-9397-08002B2CF9AE}" pid="72" name="tblLabels">
    <vt:lpwstr>arabic</vt:lpwstr>
  </property>
  <property fmtid="{D5CDD505-2E9C-101B-9397-08002B2CF9AE}" pid="73" name="tblPrefix">
    <vt:lpwstr/>
  </property>
  <property fmtid="{D5CDD505-2E9C-101B-9397-08002B2CF9AE}" pid="74" name="tblPrefixTemplate">
    <vt:lpwstr>p i</vt:lpwstr>
  </property>
  <property fmtid="{D5CDD505-2E9C-101B-9397-08002B2CF9AE}" pid="75" name="titleDelim">
    <vt:lpwstr>:</vt:lpwstr>
  </property>
</Properties>
</file>