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Corporation — Master Datasheet Template</w:t>
      </w:r>
    </w:p>
    <w:p>
      <w:r>
        <w:t>Property of ACME Corp. Do not distribute.</w:t>
      </w:r>
    </w:p>
    <w:p>
      <w:r>
        <w:fldChar w:fldCharType="begin"/>
        <w:instrText xml:space="preserve">TOC \o "1-3" \h \z \u</w:instrText>
        <w:fldChar w:fldCharType="separate"/>
        <w:t>Table of contents (update fields to populate)</w:t>
        <w:fldChar w:fldCharType="end"/>
      </w:r>
    </w:p>
    <w:p>
      <w:pPr>
        <w:pStyle w:val="DatasheetSection"/>
      </w:pPr>
      <w:r>
        <w:t>1. Overview</w:t>
      </w:r>
    </w:p>
    <w:p>
      <w:pPr/>
      <w:r>
        <w:t>The AX-4 sensor module outputs a conditioned analog signal on pin 7. Table 1 lists the recommended operating envelope.</w:t>
      </w:r>
    </w:p>
    <w:p>
      <w:r>
        <w:br w:type="page"/>
      </w:r>
    </w:p>
    <w:p>
      <w:pPr>
        <w:pStyle w:val="DatasheetSection"/>
      </w:pPr>
      <w:r>
        <w:t>2. Specifications</w:t>
      </w:r>
    </w:p>
    <w:p>
      <w:pPr>
        <w:pStyle w:val="DatasheetCaption"/>
      </w:pPr>
      <w:r>
        <w:t>Table 1 — Recommended operating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1728"/>
          </w:tcPr>
          <w:p>
            <w:r>
              <w:t>Supply voltage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3.6</w:t>
            </w:r>
          </w:p>
        </w:tc>
        <w:tc>
          <w:tcPr>
            <w:tcW w:type="dxa" w:w="1728"/>
          </w:tcPr>
          <w:p>
            <w:r>
              <w:t>V</w:t>
            </w:r>
          </w:p>
        </w:tc>
      </w:tr>
      <w:tr>
        <w:tc>
          <w:tcPr>
            <w:tcW w:type="dxa" w:w="1728"/>
          </w:tcPr>
          <w:p>
            <w:r>
              <w:t>Ambient temperature</w:t>
            </w:r>
          </w:p>
        </w:tc>
        <w:tc>
          <w:tcPr>
            <w:tcW w:type="dxa" w:w="1728"/>
          </w:tcPr>
          <w:p>
            <w:r>
              <w:t>-40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°C</w:t>
            </w:r>
          </w:p>
        </w:tc>
      </w:tr>
      <w:tr>
        <w:tc>
          <w:tcPr>
            <w:tcW w:type="dxa" w:w="1728"/>
          </w:tcPr>
          <w:p>
            <w:r>
              <w:t>Output swing</w:t>
            </w:r>
          </w:p>
        </w:tc>
        <w:tc>
          <w:tcPr>
            <w:tcW w:type="dxa" w:w="1728"/>
          </w:tcPr>
          <w:p>
            <w:r>
              <w:t>0.1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2.9</w:t>
            </w:r>
          </w:p>
        </w:tc>
        <w:tc>
          <w:tcPr>
            <w:tcW w:type="dxa" w:w="1728"/>
          </w:tcPr>
          <w:p>
            <w:r>
              <w:t>V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188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veform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tasheetCaption"/>
      </w:pPr>
      <w:r>
        <w:t>Figure 1 — Output waveform, 50 Hz square drive</w:t>
      </w:r>
    </w:p>
    <w:p>
      <w:pPr>
        <w:pStyle w:val="DatasheetSection"/>
      </w:pPr>
      <w:r>
        <w:t>3. Transfer function</w:t>
      </w:r>
    </w:p>
    <w:p>
      <w:r>
        <w:rPr>
          <w:rFonts w:ascii="Courier New" w:hAnsi="Courier New"/>
          <w:sz w:val="24"/>
        </w:rPr>
        <w:t>Vout = 1.25 * (1 + Rf/Rg) * Vin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tasheetSection">
    <w:name w:val="Datasheet Section"/>
  </w:style>
  <w:style w:type="paragraph" w:customStyle="1" w:styleId="DatasheetCaption">
    <w:name w:val="Datasheet Cap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