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037E8"/>
        </w:rPr>
        <w:t>MATRIZ / V1</w:t>
      </w:r>
    </w:p>
    <w:p>
      <w:pPr>
        <w:pStyle w:val="Title"/>
      </w:pPr>
      <w:r>
        <w:t>Dossiê de consolidação histórica e técnica</w:t>
      </w:r>
    </w:p>
    <w:p>
      <w:pPr>
        <w:pStyle w:val="Subtitle"/>
      </w:pPr>
      <w:r>
        <w:t>Estado canônico, patrimônio preservado, instaladores e gates de publicação</w:t>
      </w:r>
    </w:p>
    <w:p>
      <w:r>
        <w:rPr>
          <w:b/>
        </w:rPr>
        <w:t>27 de agosto de 2026</w:t>
      </w:r>
    </w:p>
    <w:p>
      <w:r>
        <w:rPr>
          <w:b w:val="0"/>
        </w:rPr>
        <w:t>Branch principal: main</w:t>
      </w:r>
    </w:p>
    <w:p>
      <w:r>
        <w:br/>
        <w:t>A V1 não é a soma indiscriminada de todas as branches. É a seleção auditada do melhor estado coerente, com recuperação possível e riscos explícitos.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EEE8FF"/>
          </w:tcPr>
          <w:p>
            <w:r>
              <w:t>Indicador</w:t>
            </w:r>
          </w:p>
        </w:tc>
        <w:tc>
          <w:tcPr>
            <w:tcW w:type="dxa" w:w="6048"/>
            <w:shd w:fill="EEE8FF"/>
          </w:tcPr>
          <w:p>
            <w: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Ondas funcionais</w:t>
            </w:r>
          </w:p>
        </w:tc>
        <w:tc>
          <w:tcPr>
            <w:tcW w:type="dxa" w:w="6048"/>
            <w:vAlign w:val="center"/>
          </w:tcPr>
          <w:p>
            <w:r>
              <w:t>8 commits rastreáveis</w:t>
            </w:r>
          </w:p>
        </w:tc>
      </w:tr>
      <w:tr>
        <w:tc>
          <w:tcPr>
            <w:tcW w:type="dxa" w:w="3312"/>
            <w:vAlign w:val="center"/>
          </w:tcPr>
          <w:p>
            <w:r>
              <w:t>Smoke tests</w:t>
            </w:r>
          </w:p>
        </w:tc>
        <w:tc>
          <w:tcPr>
            <w:tcW w:type="dxa" w:w="6048"/>
            <w:vAlign w:val="center"/>
          </w:tcPr>
          <w:p>
            <w:r>
              <w:t>50 arquivos / 366 testes</w:t>
            </w:r>
          </w:p>
        </w:tc>
      </w:tr>
      <w:tr>
        <w:tc>
          <w:tcPr>
            <w:tcW w:type="dxa" w:w="3312"/>
            <w:vAlign w:val="center"/>
          </w:tcPr>
          <w:p>
            <w:r>
              <w:t>Qualidade por escopo</w:t>
            </w:r>
          </w:p>
        </w:tc>
        <w:tc>
          <w:tcPr>
            <w:tcW w:type="dxa" w:w="6048"/>
            <w:vAlign w:val="center"/>
          </w:tcPr>
          <w:p>
            <w:r>
              <w:t>43 / 43 lint + typecheck</w:t>
            </w:r>
          </w:p>
        </w:tc>
      </w:tr>
      <w:tr>
        <w:tc>
          <w:tcPr>
            <w:tcW w:type="dxa" w:w="3312"/>
            <w:vAlign w:val="center"/>
          </w:tcPr>
          <w:p>
            <w:r>
              <w:t>Instaladores</w:t>
            </w:r>
          </w:p>
        </w:tc>
        <w:tc>
          <w:tcPr>
            <w:tcW w:type="dxa" w:w="6048"/>
            <w:vAlign w:val="center"/>
          </w:tcPr>
          <w:p>
            <w:r>
              <w:t>4 verificados; 1 bloqueado</w:t>
            </w:r>
          </w:p>
        </w:tc>
      </w:tr>
    </w:tbl>
    <w:p>
      <w:r>
        <w:br w:type="page"/>
      </w:r>
    </w:p>
    <w:p>
      <w:pPr>
        <w:pStyle w:val="Title"/>
      </w:pPr>
      <w:r>
        <w:t>1. Decisão executiva</w:t>
      </w:r>
    </w:p>
    <w:p>
      <w:pPr>
        <w:pStyle w:val="Heading1"/>
      </w:pPr>
      <w:r>
        <w:t>Resultado</w:t>
      </w:r>
    </w:p>
    <w:p>
      <w:r>
        <w:rPr>
          <w:b w:val="0"/>
        </w:rPr>
        <w:t>A main é a linha canônica da Matriz V1. A master cumpriu o papel de laboratório; branches duplicadas ou experimentais continuam disponíveis como patrimônio histórico, sem contaminar a linha principal.</w:t>
      </w:r>
    </w:p>
    <w:p>
      <w:pPr>
        <w:pStyle w:val="Heading1"/>
      </w:pPr>
      <w:r>
        <w:t>Princípios aplicados</w:t>
      </w:r>
    </w:p>
    <w:p>
      <w:pPr>
        <w:pStyle w:val="ListBullet"/>
      </w:pPr>
      <w:r>
        <w:t>preservar antes de integrar</w:t>
      </w:r>
    </w:p>
    <w:p>
      <w:pPr>
        <w:pStyle w:val="ListBullet"/>
      </w:pPr>
      <w:r>
        <w:t>comparar código real, não nomes de branch</w:t>
      </w:r>
    </w:p>
    <w:p>
      <w:pPr>
        <w:pStyle w:val="ListBullet"/>
      </w:pPr>
      <w:r>
        <w:t>integrar em ondas rastreáveis</w:t>
      </w:r>
    </w:p>
    <w:p>
      <w:pPr>
        <w:pStyle w:val="ListBullet"/>
      </w:pPr>
      <w:r>
        <w:t>validar antes de promover</w:t>
      </w:r>
    </w:p>
    <w:p>
      <w:pPr>
        <w:pStyle w:val="ListBullet"/>
      </w:pPr>
      <w:r>
        <w:t>não apagar checkpoints, stashes ou worktrees durante o aceite</w:t>
      </w:r>
    </w:p>
    <w:p>
      <w:pPr>
        <w:pStyle w:val="Heading1"/>
      </w:pPr>
      <w:r>
        <w:t>Fluxo da consolidação</w:t>
      </w:r>
    </w:p>
    <w:p>
      <w:pPr>
        <w:jc w:val="center"/>
      </w:pPr>
      <w:r>
        <w:rPr>
          <w:b/>
          <w:color w:val="35206B"/>
        </w:rPr>
        <w:t>HISTÓRICO → CHECKPOINTS → MASTER (laboratório) → GATES → AUDITORIA → MAIN (V1)</w:t>
      </w:r>
    </w:p>
    <w:p>
      <w:r>
        <w:br w:type="page"/>
      </w:r>
    </w:p>
    <w:p>
      <w:pPr>
        <w:pStyle w:val="Title"/>
      </w:pPr>
      <w:r>
        <w:t>2. Oito ondas da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648"/>
            <w:shd w:fill="EEE8FF"/>
          </w:tcPr>
          <w:p>
            <w:r>
              <w:t>#</w:t>
            </w:r>
          </w:p>
        </w:tc>
        <w:tc>
          <w:tcPr>
            <w:tcW w:type="dxa" w:w="1656"/>
            <w:shd w:fill="EEE8FF"/>
          </w:tcPr>
          <w:p>
            <w:r>
              <w:t>Commit</w:t>
            </w:r>
          </w:p>
        </w:tc>
        <w:tc>
          <w:tcPr>
            <w:tcW w:type="dxa" w:w="7056"/>
            <w:shd w:fill="EEE8FF"/>
          </w:tcPr>
          <w:p>
            <w:r>
              <w:t>Escopo</w:t>
            </w:r>
          </w:p>
        </w:tc>
      </w:tr>
      <w:tr>
        <w:tc>
          <w:tcPr>
            <w:tcW w:type="dxa" w:w="648"/>
            <w:vAlign w:val="center"/>
          </w:tcPr>
          <w:p>
            <w:r>
              <w:t>1</w:t>
            </w:r>
          </w:p>
        </w:tc>
        <w:tc>
          <w:tcPr>
            <w:tcW w:type="dxa" w:w="1656"/>
            <w:vAlign w:val="center"/>
          </w:tcPr>
          <w:p>
            <w:r>
              <w:t>cdfadee</w:t>
            </w:r>
          </w:p>
        </w:tc>
        <w:tc>
          <w:tcPr>
            <w:tcW w:type="dxa" w:w="7056"/>
            <w:vAlign w:val="center"/>
          </w:tcPr>
          <w:p>
            <w:r>
              <w:t>Fundação e governança</w:t>
            </w:r>
          </w:p>
        </w:tc>
      </w:tr>
      <w:tr>
        <w:tc>
          <w:tcPr>
            <w:tcW w:type="dxa" w:w="648"/>
            <w:vAlign w:val="center"/>
          </w:tcPr>
          <w:p>
            <w:r>
              <w:t>2</w:t>
            </w:r>
          </w:p>
        </w:tc>
        <w:tc>
          <w:tcPr>
            <w:tcW w:type="dxa" w:w="1656"/>
            <w:vAlign w:val="center"/>
          </w:tcPr>
          <w:p>
            <w:r>
              <w:t>f8274ee</w:t>
            </w:r>
          </w:p>
        </w:tc>
        <w:tc>
          <w:tcPr>
            <w:tcW w:type="dxa" w:w="7056"/>
            <w:vAlign w:val="center"/>
          </w:tcPr>
          <w:p>
            <w:r>
              <w:t>Apps centrais</w:t>
            </w:r>
          </w:p>
        </w:tc>
      </w:tr>
      <w:tr>
        <w:tc>
          <w:tcPr>
            <w:tcW w:type="dxa" w:w="648"/>
            <w:vAlign w:val="center"/>
          </w:tcPr>
          <w:p>
            <w:r>
              <w:t>3</w:t>
            </w:r>
          </w:p>
        </w:tc>
        <w:tc>
          <w:tcPr>
            <w:tcW w:type="dxa" w:w="1656"/>
            <w:vAlign w:val="center"/>
          </w:tcPr>
          <w:p>
            <w:r>
              <w:t>7fc9c66</w:t>
            </w:r>
          </w:p>
        </w:tc>
        <w:tc>
          <w:tcPr>
            <w:tcW w:type="dxa" w:w="7056"/>
            <w:vAlign w:val="center"/>
          </w:tcPr>
          <w:p>
            <w:r>
              <w:t>Identidade e desktop</w:t>
            </w:r>
          </w:p>
        </w:tc>
      </w:tr>
      <w:tr>
        <w:tc>
          <w:tcPr>
            <w:tcW w:type="dxa" w:w="648"/>
            <w:vAlign w:val="center"/>
          </w:tcPr>
          <w:p>
            <w:r>
              <w:t>4</w:t>
            </w:r>
          </w:p>
        </w:tc>
        <w:tc>
          <w:tcPr>
            <w:tcW w:type="dxa" w:w="1656"/>
            <w:vAlign w:val="center"/>
          </w:tcPr>
          <w:p>
            <w:r>
              <w:t>a08242f</w:t>
            </w:r>
          </w:p>
        </w:tc>
        <w:tc>
          <w:tcPr>
            <w:tcW w:type="dxa" w:w="7056"/>
            <w:vAlign w:val="center"/>
          </w:tcPr>
          <w:p>
            <w:r>
              <w:t>Seumei e admin</w:t>
            </w:r>
          </w:p>
        </w:tc>
      </w:tr>
      <w:tr>
        <w:tc>
          <w:tcPr>
            <w:tcW w:type="dxa" w:w="648"/>
            <w:vAlign w:val="center"/>
          </w:tcPr>
          <w:p>
            <w:r>
              <w:t>5</w:t>
            </w:r>
          </w:p>
        </w:tc>
        <w:tc>
          <w:tcPr>
            <w:tcW w:type="dxa" w:w="1656"/>
            <w:vAlign w:val="center"/>
          </w:tcPr>
          <w:p>
            <w:r>
              <w:t>56f7bd5</w:t>
            </w:r>
          </w:p>
        </w:tc>
        <w:tc>
          <w:tcPr>
            <w:tcW w:type="dxa" w:w="7056"/>
            <w:vAlign w:val="center"/>
          </w:tcPr>
          <w:p>
            <w:r>
              <w:t>Hub e MatrizLib</w:t>
            </w:r>
          </w:p>
        </w:tc>
      </w:tr>
      <w:tr>
        <w:tc>
          <w:tcPr>
            <w:tcW w:type="dxa" w:w="648"/>
            <w:vAlign w:val="center"/>
          </w:tcPr>
          <w:p>
            <w:r>
              <w:t>6</w:t>
            </w:r>
          </w:p>
        </w:tc>
        <w:tc>
          <w:tcPr>
            <w:tcW w:type="dxa" w:w="1656"/>
            <w:vAlign w:val="center"/>
          </w:tcPr>
          <w:p>
            <w:r>
              <w:t>58e3060</w:t>
            </w:r>
          </w:p>
        </w:tc>
        <w:tc>
          <w:tcPr>
            <w:tcW w:type="dxa" w:w="7056"/>
            <w:vAlign w:val="center"/>
          </w:tcPr>
          <w:p>
            <w:r>
              <w:t>Control, Workbench e Health</w:t>
            </w:r>
          </w:p>
        </w:tc>
      </w:tr>
      <w:tr>
        <w:tc>
          <w:tcPr>
            <w:tcW w:type="dxa" w:w="648"/>
            <w:vAlign w:val="center"/>
          </w:tcPr>
          <w:p>
            <w:r>
              <w:t>7</w:t>
            </w:r>
          </w:p>
        </w:tc>
        <w:tc>
          <w:tcPr>
            <w:tcW w:type="dxa" w:w="1656"/>
            <w:vAlign w:val="center"/>
          </w:tcPr>
          <w:p>
            <w:r>
              <w:t>772120a</w:t>
            </w:r>
          </w:p>
        </w:tc>
        <w:tc>
          <w:tcPr>
            <w:tcW w:type="dxa" w:w="7056"/>
            <w:vAlign w:val="center"/>
          </w:tcPr>
          <w:p>
            <w:r>
              <w:t>Comandos Seumei / auditoria</w:t>
            </w:r>
          </w:p>
        </w:tc>
      </w:tr>
      <w:tr>
        <w:tc>
          <w:tcPr>
            <w:tcW w:type="dxa" w:w="648"/>
            <w:vAlign w:val="center"/>
          </w:tcPr>
          <w:p>
            <w:r>
              <w:t>8</w:t>
            </w:r>
          </w:p>
        </w:tc>
        <w:tc>
          <w:tcPr>
            <w:tcW w:type="dxa" w:w="1656"/>
            <w:vAlign w:val="center"/>
          </w:tcPr>
          <w:p>
            <w:r>
              <w:t>041f6ba</w:t>
            </w:r>
          </w:p>
        </w:tc>
        <w:tc>
          <w:tcPr>
            <w:tcW w:type="dxa" w:w="7056"/>
            <w:vAlign w:val="center"/>
          </w:tcPr>
          <w:p>
            <w:r>
              <w:t>Ops e Pay</w:t>
            </w:r>
          </w:p>
        </w:tc>
      </w:tr>
    </w:tbl>
    <w:p>
      <w:pPr>
        <w:pStyle w:val="Heading1"/>
      </w:pPr>
      <w:r>
        <w:t>Interpretação correta</w:t>
      </w:r>
    </w:p>
    <w:p>
      <w:r>
        <w:rPr>
          <w:b w:val="0"/>
        </w:rPr>
        <w:t>Nem toda branch foi mesclada. Implementações úteis foram incorporadas ou reconstruídas; duplicações e experiências permaneceram como referência. Essa escolha reduz conflitos arquiteturais e regressões de UX.</w:t>
      </w:r>
    </w:p>
    <w:p>
      <w:r>
        <w:br w:type="page"/>
      </w:r>
    </w:p>
    <w:p>
      <w:pPr>
        <w:pStyle w:val="Title"/>
      </w:pPr>
      <w:r>
        <w:t>3. Arquitetura consolidada</w:t>
      </w:r>
    </w:p>
    <w:p>
      <w:pPr>
        <w:jc w:val="center"/>
      </w:pPr>
      <w:r>
        <w:rPr>
          <w:b/>
          <w:color w:val="35206B"/>
        </w:rPr>
        <w:t>Usuário → Hub → Identity / Workbench / Control / Apps de produto</w:t>
      </w:r>
    </w:p>
    <w:p>
      <w:pPr>
        <w:jc w:val="center"/>
      </w:pPr>
      <w:r>
        <w:rPr>
          <w:b/>
          <w:color w:val="7037E8"/>
        </w:rPr>
        <w:t>Apps → contratos públicos v1 → gateways e eventos → storage próprio</w:t>
      </w:r>
    </w:p>
    <w:p>
      <w:pPr>
        <w:pStyle w:val="Heading1"/>
      </w:pPr>
      <w:r>
        <w:t>Leis que protegem a V1</w:t>
      </w:r>
    </w:p>
    <w:p>
      <w:pPr>
        <w:pStyle w:val="ListBullet"/>
      </w:pPr>
      <w:r>
        <w:t>sem imports de internals entre apps</w:t>
      </w:r>
    </w:p>
    <w:p>
      <w:pPr>
        <w:pStyle w:val="ListBullet"/>
      </w:pPr>
      <w:r>
        <w:t>domínio forte permanece app-local</w:t>
      </w:r>
    </w:p>
    <w:p>
      <w:pPr>
        <w:pStyle w:val="ListBullet"/>
      </w:pPr>
      <w:r>
        <w:t>UI recebe ViewModels, não entidades cruas</w:t>
      </w:r>
    </w:p>
    <w:p>
      <w:pPr>
        <w:pStyle w:val="ListBullet"/>
      </w:pPr>
      <w:r>
        <w:t>bootstrap é o ponto de composição</w:t>
      </w:r>
    </w:p>
    <w:p>
      <w:pPr>
        <w:pStyle w:val="ListBullet"/>
      </w:pPr>
      <w:r>
        <w:t>packages compartilhados exigem dois consumidores e superfície estável</w:t>
      </w:r>
    </w:p>
    <w:p>
      <w:pPr>
        <w:pStyle w:val="Heading1"/>
      </w:pPr>
      <w:r>
        <w:t>Portas locais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5"/>
            <w:shd w:fill="EEE8FF"/>
          </w:tcPr>
          <w:p>
            <w:r>
              <w:t>3000–3004</w:t>
            </w:r>
          </w:p>
        </w:tc>
        <w:tc>
          <w:tcPr>
            <w:tcW w:type="dxa" w:w="3125"/>
            <w:shd w:fill="EEE8FF"/>
          </w:tcPr>
          <w:p>
            <w:r>
              <w:t>3006–3009</w:t>
            </w:r>
          </w:p>
        </w:tc>
        <w:tc>
          <w:tcPr>
            <w:tcW w:type="dxa" w:w="3110"/>
            <w:shd w:fill="EEE8FF"/>
          </w:tcPr>
          <w:p>
            <w:r>
              <w:t>3010–3012</w:t>
            </w:r>
          </w:p>
        </w:tc>
      </w:tr>
      <w:tr>
        <w:tc>
          <w:tcPr>
            <w:tcW w:type="dxa" w:w="3125"/>
            <w:vAlign w:val="center"/>
          </w:tcPr>
          <w:p>
            <w:r>
              <w:t>Hub, Spot, Admin, Contracts, Willdash</w:t>
            </w:r>
          </w:p>
        </w:tc>
        <w:tc>
          <w:tcPr>
            <w:tcW w:type="dxa" w:w="3125"/>
            <w:vAlign w:val="center"/>
          </w:tcPr>
          <w:p>
            <w:r>
              <w:t>Sites, MatrizLib, Seumei, Control</w:t>
            </w:r>
          </w:p>
        </w:tc>
        <w:tc>
          <w:tcPr>
            <w:tcW w:type="dxa" w:w="3110"/>
            <w:vAlign w:val="center"/>
          </w:tcPr>
          <w:p>
            <w:r>
              <w:t>Health, Ops, Pay</w:t>
            </w:r>
          </w:p>
        </w:tc>
      </w:tr>
    </w:tbl>
    <w:p>
      <w:r>
        <w:br w:type="page"/>
      </w:r>
    </w:p>
    <w:p>
      <w:pPr>
        <w:pStyle w:val="Title"/>
      </w:pPr>
      <w:r>
        <w:t>4. Evidências visuais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-control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Matriz Control — cockpit operacional validado em execução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lib-cat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MatrizLib — catálogo auditado com 99 componentes.</w:t>
      </w:r>
    </w:p>
    <w:p>
      <w:r>
        <w:br w:type="page"/>
      </w:r>
    </w:p>
    <w:p>
      <w:pPr>
        <w:pStyle w:val="Title"/>
      </w:pPr>
      <w:r>
        <w:t>5. Instaladores locais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EEE8FF"/>
          </w:tcPr>
          <w:p>
            <w:r>
              <w:t>Aplicação</w:t>
            </w:r>
          </w:p>
        </w:tc>
        <w:tc>
          <w:tcPr>
            <w:tcW w:type="dxa" w:w="1944"/>
            <w:shd w:fill="EEE8FF"/>
          </w:tcPr>
          <w:p>
            <w:r>
              <w:t>Estado</w:t>
            </w:r>
          </w:p>
        </w:tc>
        <w:tc>
          <w:tcPr>
            <w:tcW w:type="dxa" w:w="3960"/>
            <w:shd w:fill="EEE8FF"/>
          </w:tcPr>
          <w:p>
            <w:r>
              <w:t>SHA-256 (início)</w:t>
            </w:r>
          </w:p>
        </w:tc>
      </w:tr>
      <w:tr>
        <w:tc>
          <w:tcPr>
            <w:tcW w:type="dxa" w:w="3456"/>
            <w:vAlign w:val="center"/>
          </w:tcPr>
          <w:p>
            <w:r>
              <w:t>Control Electron</w:t>
            </w:r>
          </w:p>
        </w:tc>
        <w:tc>
          <w:tcPr>
            <w:tcW w:type="dxa" w:w="1944"/>
            <w:vAlign w:val="center"/>
          </w:tcPr>
          <w:p>
            <w:r>
              <w:t>OK</w:t>
            </w:r>
          </w:p>
        </w:tc>
        <w:tc>
          <w:tcPr>
            <w:tcW w:type="dxa" w:w="3960"/>
            <w:vAlign w:val="center"/>
          </w:tcPr>
          <w:p>
            <w:r>
              <w:t>29e181ab6684…</w:t>
            </w:r>
          </w:p>
        </w:tc>
      </w:tr>
      <w:tr>
        <w:tc>
          <w:tcPr>
            <w:tcW w:type="dxa" w:w="3456"/>
            <w:vAlign w:val="center"/>
          </w:tcPr>
          <w:p>
            <w:r>
              <w:t>Desktop Tauri Control</w:t>
            </w:r>
          </w:p>
        </w:tc>
        <w:tc>
          <w:tcPr>
            <w:tcW w:type="dxa" w:w="1944"/>
            <w:vAlign w:val="center"/>
          </w:tcPr>
          <w:p>
            <w:r>
              <w:t>OK</w:t>
            </w:r>
          </w:p>
        </w:tc>
        <w:tc>
          <w:tcPr>
            <w:tcW w:type="dxa" w:w="3960"/>
            <w:vAlign w:val="center"/>
          </w:tcPr>
          <w:p>
            <w:r>
              <w:t>8bb6c42fc7bb…</w:t>
            </w:r>
          </w:p>
        </w:tc>
      </w:tr>
      <w:tr>
        <w:tc>
          <w:tcPr>
            <w:tcW w:type="dxa" w:w="3456"/>
            <w:vAlign w:val="center"/>
          </w:tcPr>
          <w:p>
            <w:r>
              <w:t>Admin Tauri</w:t>
            </w:r>
          </w:p>
        </w:tc>
        <w:tc>
          <w:tcPr>
            <w:tcW w:type="dxa" w:w="1944"/>
            <w:vAlign w:val="center"/>
          </w:tcPr>
          <w:p>
            <w:r>
              <w:t>OK</w:t>
            </w:r>
          </w:p>
        </w:tc>
        <w:tc>
          <w:tcPr>
            <w:tcW w:type="dxa" w:w="3960"/>
            <w:vAlign w:val="center"/>
          </w:tcPr>
          <w:p>
            <w:r>
              <w:t>b08271a8ecdc…</w:t>
            </w:r>
          </w:p>
        </w:tc>
      </w:tr>
      <w:tr>
        <w:tc>
          <w:tcPr>
            <w:tcW w:type="dxa" w:w="3456"/>
            <w:vAlign w:val="center"/>
          </w:tcPr>
          <w:p>
            <w:r>
              <w:t>Ops Tauri</w:t>
            </w:r>
          </w:p>
        </w:tc>
        <w:tc>
          <w:tcPr>
            <w:tcW w:type="dxa" w:w="1944"/>
            <w:vAlign w:val="center"/>
          </w:tcPr>
          <w:p>
            <w:r>
              <w:t>OK</w:t>
            </w:r>
          </w:p>
        </w:tc>
        <w:tc>
          <w:tcPr>
            <w:tcW w:type="dxa" w:w="3960"/>
            <w:vAlign w:val="center"/>
          </w:tcPr>
          <w:p>
            <w:r>
              <w:t>f2e4704076f7…</w:t>
            </w:r>
          </w:p>
        </w:tc>
      </w:tr>
      <w:tr>
        <w:tc>
          <w:tcPr>
            <w:tcW w:type="dxa" w:w="3456"/>
            <w:vAlign w:val="center"/>
          </w:tcPr>
          <w:p>
            <w:r>
              <w:t>Seumei Desktop</w:t>
            </w:r>
          </w:p>
        </w:tc>
        <w:tc>
          <w:tcPr>
            <w:tcW w:type="dxa" w:w="1944"/>
            <w:vAlign w:val="center"/>
          </w:tcPr>
          <w:p>
            <w:r>
              <w:t>BLOQUEADO</w:t>
            </w:r>
          </w:p>
        </w:tc>
        <w:tc>
          <w:tcPr>
            <w:tcW w:type="dxa" w:w="3960"/>
            <w:vAlign w:val="center"/>
          </w:tcPr>
          <w:p>
            <w:r>
              <w:t>URLs HTTPS ausentes</w:t>
            </w:r>
          </w:p>
        </w:tc>
      </w:tr>
    </w:tbl>
    <w:p>
      <w:r>
        <w:rPr>
          <w:b w:val="0"/>
        </w:rPr>
        <w:t>Os executáveis são locais e não assinados. O manifesto JSON e o guia INSTALLERS.md contêm nomes, tamanhos e hashes completos. Nenhuma URL foi inventada e nenhum segredo foi incorporado.</w:t>
      </w:r>
    </w:p>
    <w:p>
      <w:r>
        <w:br w:type="page"/>
      </w:r>
    </w:p>
    <w:p>
      <w:pPr>
        <w:pStyle w:val="Title"/>
      </w:pPr>
      <w:r>
        <w:t>6. Riscos e gate de publicação</w:t>
      </w:r>
    </w:p>
    <w:p>
      <w:pPr>
        <w:pStyle w:val="ListNumber"/>
      </w:pPr>
      <w:r>
        <w:t>Assinar todos os binários antes de distribuição pública.</w:t>
      </w:r>
    </w:p>
    <w:p>
      <w:pPr>
        <w:pStyle w:val="ListNumber"/>
      </w:pPr>
      <w:r>
        <w:t>Testar instalação e desinstalação em Windows limpo.</w:t>
      </w:r>
    </w:p>
    <w:p>
      <w:pPr>
        <w:pStyle w:val="ListNumber"/>
      </w:pPr>
      <w:r>
        <w:t>Diagnosticar o Hub, que permaneceu em carregamento na captura.</w:t>
      </w:r>
    </w:p>
    <w:p>
      <w:pPr>
        <w:pStyle w:val="ListNumber"/>
      </w:pPr>
      <w:r>
        <w:t>Definir as duas URLs HTTPS oficiais do Seumei Desktop.</w:t>
      </w:r>
    </w:p>
    <w:p>
      <w:pPr>
        <w:pStyle w:val="ListNumber"/>
      </w:pPr>
      <w:r>
        <w:t>Repetir smoke, lint e typecheck na revisão exata da tag.</w:t>
      </w:r>
    </w:p>
    <w:p>
      <w:pPr>
        <w:pStyle w:val="ListNumber"/>
      </w:pPr>
      <w:r>
        <w:t>Criar tag v1.0.0 apenas após aceite humano.</w:t>
      </w:r>
    </w:p>
    <w:p>
      <w:pPr>
        <w:pStyle w:val="Heading1"/>
      </w:pPr>
      <w:r>
        <w:t>Estado de preservação</w:t>
      </w:r>
    </w:p>
    <w:p>
      <w:r>
        <w:rPr>
          <w:b w:val="0"/>
        </w:rPr>
        <w:t>Branches, quatro stashes, worktrees e checkpoints permanecem disponíveis. Não houve push, release pública ou limpeza destrutiva nesta etapa.</w:t>
      </w:r>
    </w:p>
    <w:p>
      <w:pPr>
        <w:pStyle w:val="Heading1"/>
      </w:pPr>
      <w:r>
        <w:t>Conclusão</w:t>
      </w:r>
    </w:p>
    <w:p>
      <w:r>
        <w:rPr>
          <w:b w:val="0"/>
        </w:rPr>
        <w:t>A Matriz V1 possui uma principal coerente, evidência reproduzível e rota segura para publicação. O que ainda não foi provado está explicitamente marcado como bloqueado ou risco, preservando confiança no relatório.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Documento local • 27 ago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A6F7A"/>
        <w:sz w:val="16"/>
      </w:rPr>
      <w:t>MATRIZ V1  /  DOSSIÊ DE CONSOLIDAÇÃO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ptos" w:hAnsi="Aptos"/>
      <w:color w:val="2023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7037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7037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3520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Aptos" w:hAnsi="Aptos"/>
      <w:color w:val="11131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Aptos" w:hAnsi="Aptos"/>
      <w:i/>
      <w:iCs/>
      <w:color w:val="5A60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V1 — Dossiê de Consolidação</dc:title>
  <dc:subject/>
  <dc:creator>Matriz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