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SEUMEI</w:t>
      </w:r>
    </w:p>
    <w:p>
      <w:pPr>
        <w:pStyle w:val="Title"/>
      </w:pPr>
      <w:r>
        <w:t>Auditoria visual e de rotas</w:t>
      </w:r>
    </w:p>
    <w:p>
      <w:r>
        <w:rPr>
          <w:color w:val="55635D"/>
          <w:sz w:val="30"/>
        </w:rPr>
        <w:t>Primeira assimilação · evidência desktop/mobile · próximos ciclos</w:t>
      </w:r>
    </w:p>
    <w:p>
      <w:r>
        <w:t>22 de agosto de 2026</w:t>
      </w:r>
    </w:p>
    <w:p>
      <w:pPr>
        <w:pStyle w:val="Heading2"/>
      </w:pPr>
      <w:r>
        <w:t>VEREDITO</w:t>
      </w:r>
    </w:p>
    <w:p>
      <w:pPr>
        <w:spacing w:after="240"/>
      </w:pPr>
      <w:r>
        <w:rPr>
          <w:b/>
        </w:rPr>
        <w:t xml:space="preserve">10 padrões de rota implementados. </w:t>
      </w:r>
      <w:r>
        <w:t>A fundação vertical está persistente; sete domínios continuam planejados. Nenhum instalador foi criado porque a Seumei permanece web-first nesta fase.</w:t>
      </w:r>
    </w:p>
    <w:p>
      <w:r>
        <w:br w:type="page"/>
      </w:r>
    </w:p>
    <w:p>
      <w:pPr>
        <w:pStyle w:val="Heading1"/>
      </w:pPr>
      <w:r>
        <w:t>Resumo executivo</w:t>
      </w:r>
    </w:p>
    <w:p>
      <w:pPr>
        <w:pStyle w:val="ListBullet"/>
      </w:pPr>
      <w:r>
        <w:t>23 capturas aceitas: 16 desktop e 7 mobile.</w:t>
      </w:r>
    </w:p>
    <w:p>
      <w:pPr>
        <w:pStyle w:val="ListBullet"/>
      </w:pPr>
      <w:r>
        <w:t>Fluxos persistentes: empresa, onboarding, workspace, membros e catálogo.</w:t>
      </w:r>
    </w:p>
    <w:p>
      <w:pPr>
        <w:pStyle w:val="ListBullet"/>
      </w:pPr>
      <w:r>
        <w:t>2 achados de alta prioridade e 6 de prioridade média.</w:t>
      </w:r>
    </w:p>
    <w:p>
      <w:pPr>
        <w:pStyle w:val="ListBullet"/>
      </w:pPr>
      <w:r>
        <w:t>Próximo ciclo recomendado: Estoque e Movimentos, com plano TDD pronto.</w:t>
      </w:r>
    </w:p>
    <w:p>
      <w:pPr>
        <w:pStyle w:val="Heading2"/>
      </w:pPr>
      <w:r>
        <w:t>O que ainda não existe</w:t>
      </w:r>
    </w:p>
    <w:p>
      <w:r>
        <w:t>Estoque, loja/publicação, pedidos, clientes, financeiro essencial, identidade visual completa e integrações justificadas são fatias futuras. Convites possuem link seguro, mas não entrega transacional real por e-mail.</w:t>
      </w:r>
    </w:p>
    <w:p>
      <w:pPr>
        <w:pStyle w:val="Heading1"/>
      </w:pPr>
      <w:r>
        <w:t>Inventário de rotas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84"/>
            <w:shd w:fill="101916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1800"/>
            <w:shd w:fill="101916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fill="101916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84"/>
            <w:shd w:fill="EEF5F1"/>
          </w:tcPr>
          <w:p>
            <w:r>
              <w:t>/login</w:t>
            </w:r>
          </w:p>
        </w:tc>
        <w:tc>
          <w:tcPr>
            <w:tcW w:type="dxa" w:w="1800"/>
            <w:shd w:fill="EEF5F1"/>
          </w:tcPr>
          <w:p>
            <w:r>
              <w:t>Implementada</w:t>
            </w:r>
          </w:p>
        </w:tc>
        <w:tc>
          <w:tcPr>
            <w:tcW w:type="dxa" w:w="4320"/>
            <w:shd w:fill="EEF5F1"/>
          </w:tcPr>
          <w:p>
            <w:r>
              <w:t>Autenticação e retorno ao Hub</w:t>
            </w:r>
          </w:p>
        </w:tc>
      </w:tr>
      <w:tr>
        <w:tc>
          <w:tcPr>
            <w:tcW w:type="dxa" w:w="3384"/>
          </w:tcPr>
          <w:p>
            <w:r>
              <w:t>/</w:t>
            </w:r>
          </w:p>
        </w:tc>
        <w:tc>
          <w:tcPr>
            <w:tcW w:type="dxa" w:w="1800"/>
          </w:tcPr>
          <w:p>
            <w:r>
              <w:t>Implementada</w:t>
            </w:r>
          </w:p>
        </w:tc>
        <w:tc>
          <w:tcPr>
            <w:tcW w:type="dxa" w:w="4320"/>
          </w:tcPr>
          <w:p>
            <w:r>
              <w:t>Criar, retomar e selecionar empresa</w:t>
            </w:r>
          </w:p>
        </w:tc>
      </w:tr>
      <w:tr>
        <w:tc>
          <w:tcPr>
            <w:tcW w:type="dxa" w:w="3384"/>
            <w:shd w:fill="EEF5F1"/>
          </w:tcPr>
          <w:p>
            <w:r>
              <w:t>/onboarding</w:t>
            </w:r>
          </w:p>
        </w:tc>
        <w:tc>
          <w:tcPr>
            <w:tcW w:type="dxa" w:w="1800"/>
            <w:shd w:fill="EEF5F1"/>
          </w:tcPr>
          <w:p>
            <w:r>
              <w:t>Implementada</w:t>
            </w:r>
          </w:p>
        </w:tc>
        <w:tc>
          <w:tcPr>
            <w:tcW w:type="dxa" w:w="4320"/>
            <w:shd w:fill="EEF5F1"/>
          </w:tcPr>
          <w:p>
            <w:r>
              <w:t>Quatro etapas persistentes</w:t>
            </w:r>
          </w:p>
        </w:tc>
      </w:tr>
      <w:tr>
        <w:tc>
          <w:tcPr>
            <w:tcW w:type="dxa" w:w="3384"/>
          </w:tcPr>
          <w:p>
            <w:r>
              <w:t>/workspace</w:t>
            </w:r>
          </w:p>
        </w:tc>
        <w:tc>
          <w:tcPr>
            <w:tcW w:type="dxa" w:w="1800"/>
          </w:tcPr>
          <w:p>
            <w:r>
              <w:t>Implementada</w:t>
            </w:r>
          </w:p>
        </w:tc>
        <w:tc>
          <w:tcPr>
            <w:tcW w:type="dxa" w:w="4320"/>
          </w:tcPr>
          <w:p>
            <w:r>
              <w:t>Entrada tenant-scoped</w:t>
            </w:r>
          </w:p>
        </w:tc>
      </w:tr>
      <w:tr>
        <w:tc>
          <w:tcPr>
            <w:tcW w:type="dxa" w:w="3384"/>
            <w:shd w:fill="EEF5F1"/>
          </w:tcPr>
          <w:p>
            <w:r>
              <w:t>/workspace/members</w:t>
            </w:r>
          </w:p>
        </w:tc>
        <w:tc>
          <w:tcPr>
            <w:tcW w:type="dxa" w:w="1800"/>
            <w:shd w:fill="EEF5F1"/>
          </w:tcPr>
          <w:p>
            <w:r>
              <w:t>Implementada</w:t>
            </w:r>
          </w:p>
        </w:tc>
        <w:tc>
          <w:tcPr>
            <w:tcW w:type="dxa" w:w="4320"/>
            <w:shd w:fill="EEF5F1"/>
          </w:tcPr>
          <w:p>
            <w:r>
              <w:t>Papéis e convites</w:t>
            </w:r>
          </w:p>
        </w:tc>
      </w:tr>
      <w:tr>
        <w:tc>
          <w:tcPr>
            <w:tcW w:type="dxa" w:w="3384"/>
          </w:tcPr>
          <w:p>
            <w:r>
              <w:t>/workspace/products</w:t>
            </w:r>
          </w:p>
        </w:tc>
        <w:tc>
          <w:tcPr>
            <w:tcW w:type="dxa" w:w="1800"/>
          </w:tcPr>
          <w:p>
            <w:r>
              <w:t>Implementada</w:t>
            </w:r>
          </w:p>
        </w:tc>
        <w:tc>
          <w:tcPr>
            <w:tcW w:type="dxa" w:w="4320"/>
          </w:tcPr>
          <w:p>
            <w:r>
              <w:t>Catálogo vazio e preenchido</w:t>
            </w:r>
          </w:p>
        </w:tc>
      </w:tr>
      <w:tr>
        <w:tc>
          <w:tcPr>
            <w:tcW w:type="dxa" w:w="3384"/>
            <w:shd w:fill="EEF5F1"/>
          </w:tcPr>
          <w:p>
            <w:r>
              <w:t>/workspace/products/new</w:t>
            </w:r>
          </w:p>
        </w:tc>
        <w:tc>
          <w:tcPr>
            <w:tcW w:type="dxa" w:w="1800"/>
            <w:shd w:fill="EEF5F1"/>
          </w:tcPr>
          <w:p>
            <w:r>
              <w:t>Implementada</w:t>
            </w:r>
          </w:p>
        </w:tc>
        <w:tc>
          <w:tcPr>
            <w:tcW w:type="dxa" w:w="4320"/>
            <w:shd w:fill="EEF5F1"/>
          </w:tcPr>
          <w:p>
            <w:r>
              <w:t>Produto e variantes</w:t>
            </w:r>
          </w:p>
        </w:tc>
      </w:tr>
      <w:tr>
        <w:tc>
          <w:tcPr>
            <w:tcW w:type="dxa" w:w="3384"/>
          </w:tcPr>
          <w:p>
            <w:r>
              <w:t>/workspace/products/[productId]</w:t>
            </w:r>
          </w:p>
        </w:tc>
        <w:tc>
          <w:tcPr>
            <w:tcW w:type="dxa" w:w="1800"/>
          </w:tcPr>
          <w:p>
            <w:r>
              <w:t>Implementada</w:t>
            </w:r>
          </w:p>
        </w:tc>
        <w:tc>
          <w:tcPr>
            <w:tcW w:type="dxa" w:w="4320"/>
          </w:tcPr>
          <w:p>
            <w:r>
              <w:t>Edição persistida</w:t>
            </w:r>
          </w:p>
        </w:tc>
      </w:tr>
      <w:tr>
        <w:tc>
          <w:tcPr>
            <w:tcW w:type="dxa" w:w="3384"/>
            <w:shd w:fill="EEF5F1"/>
          </w:tcPr>
          <w:p>
            <w:r>
              <w:t>/docs</w:t>
            </w:r>
          </w:p>
        </w:tc>
        <w:tc>
          <w:tcPr>
            <w:tcW w:type="dxa" w:w="1800"/>
            <w:shd w:fill="EEF5F1"/>
          </w:tcPr>
          <w:p>
            <w:r>
              <w:t>Temporária</w:t>
            </w:r>
          </w:p>
        </w:tc>
        <w:tc>
          <w:tcPr>
            <w:tcW w:type="dxa" w:w="4320"/>
            <w:shd w:fill="EEF5F1"/>
          </w:tcPr>
          <w:p>
            <w:r>
              <w:t>Laboratório de route flows</w:t>
            </w:r>
          </w:p>
        </w:tc>
      </w:tr>
      <w:tr>
        <w:tc>
          <w:tcPr>
            <w:tcW w:type="dxa" w:w="3384"/>
          </w:tcPr>
          <w:p>
            <w:r>
              <w:t>/invite/[token]</w:t>
            </w:r>
          </w:p>
        </w:tc>
        <w:tc>
          <w:tcPr>
            <w:tcW w:type="dxa" w:w="1800"/>
          </w:tcPr>
          <w:p>
            <w:r>
              <w:t>Implementada</w:t>
            </w:r>
          </w:p>
        </w:tc>
        <w:tc>
          <w:tcPr>
            <w:tcW w:type="dxa" w:w="4320"/>
          </w:tcPr>
          <w:p>
            <w:r>
              <w:t>Aceite e falhas seguras</w:t>
            </w:r>
          </w:p>
        </w:tc>
      </w:tr>
    </w:tbl>
    <w:p>
      <w:r>
        <w:br w:type="page"/>
      </w:r>
    </w:p>
    <w:p>
      <w:pPr>
        <w:pStyle w:val="Heading1"/>
      </w:pPr>
      <w:r>
        <w:t>Achados e riscos</w:t>
      </w:r>
    </w:p>
    <w:p>
      <w:pPr>
        <w:pStyle w:val="Heading2"/>
      </w:pPr>
      <w:r>
        <w:t>Alta prioridade</w:t>
      </w:r>
    </w:p>
    <w:p>
      <w:pPr>
        <w:pStyle w:val="ListNumber"/>
      </w:pPr>
      <w:r>
        <w:t>Onboarding pode ficar em 'Salvando...' após indisponibilidade, sem erro visível ou nova tentativa.</w:t>
      </w:r>
    </w:p>
    <w:p>
      <w:pPr>
        <w:pStyle w:val="ListNumber"/>
      </w:pPr>
      <w:r>
        <w:t>Estado vazio de Produtos apresentou sobreposição entre conteúdo e CTA no desktop.</w:t>
      </w:r>
    </w:p>
    <w:p>
      <w:pPr>
        <w:pStyle w:val="Heading2"/>
      </w:pPr>
      <w:r>
        <w:t>Prioridade média</w:t>
      </w:r>
    </w:p>
    <w:p>
      <w:pPr>
        <w:pStyle w:val="ListBullet"/>
      </w:pPr>
      <w:r>
        <w:t>Navegação mobile depende de rolagem horizontal pouco evidente.</w:t>
      </w:r>
    </w:p>
    <w:p>
      <w:pPr>
        <w:pStyle w:val="ListBullet"/>
      </w:pPr>
      <w:r>
        <w:t>Recomendação de aparência volta após ser dispensada e obstrui conteúdo.</w:t>
      </w:r>
    </w:p>
    <w:p>
      <w:pPr>
        <w:pStyle w:val="ListBullet"/>
      </w:pPr>
      <w:r>
        <w:t>Botões flutuantes do ecossistema podem cobrir campos no mobile.</w:t>
      </w:r>
    </w:p>
    <w:p>
      <w:pPr>
        <w:pStyle w:val="ListBullet"/>
      </w:pPr>
      <w:r>
        <w:t>Status ACTIVE quebra a consistência do idioma.</w:t>
      </w:r>
    </w:p>
    <w:p>
      <w:pPr>
        <w:pStyle w:val="ListBullet"/>
      </w:pPr>
      <w:r>
        <w:t>Campo Endereço representa slug e precisa de rótulo específico.</w:t>
      </w:r>
    </w:p>
    <w:p>
      <w:pPr>
        <w:pStyle w:val="ListBullet"/>
      </w:pPr>
      <w:r>
        <w:t>Shell mobile ocupa altura relevante antes do conteúdo principal.</w:t>
      </w:r>
    </w:p>
    <w:p>
      <w:pPr>
        <w:pStyle w:val="Heading2"/>
      </w:pPr>
      <w:r>
        <w:t>Acessibilidade</w:t>
      </w:r>
    </w:p>
    <w:p>
      <w:r>
        <w:t>Foco, labels, responsividade e overflow foram inspecionados. Contraste ainda precisa de medição objetiva e o fluxo integral precisa de teclado/leitor de tela. Este relatório não declara conformidade WCAG.</w:t>
      </w:r>
    </w:p>
    <w:p>
      <w:pPr>
        <w:pStyle w:val="Heading2"/>
      </w:pPr>
      <w:r>
        <w:t>Limite de ambiente</w:t>
      </w:r>
    </w:p>
    <w:p>
      <w:r>
        <w:t>As imagens são capturas de viewport. No worktree, a descoberta de rotas da Seumei exigiu webpack, enquanto o Hub funcionou em Turbopack; o achado é de ergonomia de desenvolvimento, não uma falha de produção comprovada.</w:t>
      </w:r>
    </w:p>
    <w:p>
      <w:r>
        <w:br w:type="page"/>
      </w:r>
    </w:p>
    <w:p>
      <w:pPr>
        <w:pStyle w:val="Heading1"/>
      </w:pPr>
      <w:r>
        <w:t>Álbum de evidências</w:t>
      </w:r>
    </w:p>
    <w:p>
      <w:r>
        <w:t>Capturas originais do navegador real; sem reconstrução visual.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" name="Picture 1" descr="Captura: Login - desktop" title="Captura: Login -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Login - desktop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2" name="Picture 2" descr="Captura: Empresas - estado vazio" title="Captura: Empresas - estado vaz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presas-vazio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Empresas - estado vazio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3" name="Picture 3" descr="Captura: Onboarding - identidade" title="Captura: Onboarding - identida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nboarding-identidade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Onboarding - identidade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4" name="Picture 4" descr="Captura: Onboarding - operação" title="Captura: Onboarding - oper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nboarding-operacao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Onboarding - operação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5" name="Picture 5" descr="Captura: Empresas - retomada persistida" title="Captura: Empresas - retomada persist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mpresas-retomada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Empresas - retomada persistida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6" name="Picture 6" descr="Captura: Onboarding - preferências" title="Captura: Onboarding - preferê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onboarding-preferencias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Onboarding - preferências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7" name="Picture 7" descr="Captura: Onboarding - revisão" title="Captura: Onboarding - revis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nboarding-revisao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Onboarding - revisão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8" name="Picture 8" descr="Captura: Workspace - desktop" title="Captura: Workspace -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orkspace-deskt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Workspace - desktop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9" name="Picture 9" descr="Captura: Membros - desktop" title="Captura: Membros -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mbros-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Membros - desktop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0" name="Picture 10" descr="Captura: Produtos - estado vazio e sobreposição observada" title="Captura: Produtos - estado vazio e sobreposição observ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dutos-vazio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Produtos - estado vazio e sobreposição observada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11" name="Picture 11" descr="Captura: Novo produto - dados principais" title="Captura: Novo produto - dados principa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duto-novo-desk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Novo produto - dados principais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12" name="Picture 12" descr="Captura: Novo produto - variantes" title="Captura: Novo produto - vari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duto-variantes-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Novo produto - variantes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13" name="Picture 13" descr="Captura: Produto - edição persistida" title="Captura: Produto - edição persist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roduto-edicao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Produto - edição persistida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4" name="Picture 14" descr="Captura: Produtos - catálogo preenchido" title="Captura: Produtos - catálogo preench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rodutos-preenchido-desk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Produtos - catálogo preenchido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61001"/>
            <wp:docPr id="15" name="Picture 15" descr="Captura: Route flows - desktop" title="Captura: Route flows -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oute-flows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Route flows - desktop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159250"/>
            <wp:docPr id="16" name="Picture 16" descr="Captura: Convite indisponível - desktop" title="Captura: Convite indisponível - desk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nvite-indisponivel-deskt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5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Convite indisponível - desktop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17" name="Picture 17" descr="Captura: Workspace - mobile" title="Captura: Workspace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workspace-mob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Workspace - mobile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18" name="Picture 18" descr="Captura: Produtos - mobile" title="Captura: Produtos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odutos-mob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Produtos - mobile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19" name="Picture 19" descr="Captura: Novo produto - mobile" title="Captura: Novo produto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roduto-novo-mobi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Novo produto - mobile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20" name="Picture 20" descr="Captura: Membros - mobile" title="Captura: Membros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embros-mobi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Membros - mobile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21" name="Picture 21" descr="Captura: Route flows - mobile" title="Captura: Route flows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oute-flows-mob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Route flows - mobile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22" name="Picture 22" descr="Captura: Empresas - mobile" title="Captura: Empresas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mpresas-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Empresas - mobile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3967"/>
            <wp:docPr id="23" name="Picture 23" descr="Captura: Convite indisponível - mobile" title="Captura: Convite indisponível -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nvite-indisponivel-mob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Convite indisponível - mobile</w:t>
      </w:r>
    </w:p>
    <w:p>
      <w:r>
        <w:br w:type="page"/>
      </w:r>
    </w:p>
    <w:p>
      <w:pPr>
        <w:pStyle w:val="Heading1"/>
      </w:pPr>
      <w:r>
        <w:t>Próximo ciclo</w:t>
      </w:r>
    </w:p>
    <w:p>
      <w:r>
        <w:t>Executar Estoque e Movimentos como uma fatia vertical ligada às variantes reais: schema aditivo, movimentos imutáveis, saldo concorrência-seguro, idempotência, autorização por papel, APIs server-authoritative, presenters e browser desktop/mobile.</w:t>
      </w:r>
    </w:p>
    <w:p>
      <w:r>
        <w:t>O roadmap completo inclui Loja e Publicação, Pedidos, Clientes, Financeiro essencial, Identidade visual e Integrações justificadas. Dez decisões de produto ficam registradas no roadmap e não bloqueiam Estoque.</w:t>
      </w:r>
    </w:p>
    <w:p>
      <w:r>
        <w:t>Documentos-fonte: docs/seumei-next-cycles-roadmap.md e docs/superpowers/plans/2026-08-22-seumei-stock-movements.md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35D"/>
        <w:sz w:val="16"/>
      </w:rPr>
      <w:t>Matriz-Hub · 22 ago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635D"/>
      </w:rPr>
      <w:t>SEUMEI  /  AUDITORIA DE ROTAS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91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91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191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91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Seumei - Auditoria visual e de rotas</dc:title>
  <dc:subject>Evidência da primeira assimilação e roadmap</dc:subject>
  <dc:creator>Matriz-Hub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