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00"/>
      </w:pPr>
      <w:r>
        <w:rPr>
          <w:rFonts w:ascii="Aptos Display" w:hAnsi="Aptos Display"/>
          <w:b/>
          <w:color w:val="3B1D74"/>
          <w:sz w:val="56"/>
        </w:rPr>
        <w:t>LAUDO DE DESIGN E EVOLUÇÃO</w:t>
      </w:r>
    </w:p>
    <w:p>
      <w:pPr>
        <w:spacing w:before="0" w:after="160" w:line="264" w:lineRule="auto"/>
      </w:pPr>
      <w:r>
        <w:rPr>
          <w:rFonts w:ascii="Aptos" w:hAnsi="Aptos"/>
          <w:b/>
          <w:color w:val="151525"/>
          <w:sz w:val="32"/>
        </w:rPr>
        <w:t>Seumei: referências aprovadas versus implementação funcional</w:t>
      </w:r>
    </w:p>
    <w:p>
      <w:pPr>
        <w:spacing w:before="0" w:after="440" w:line="264" w:lineRule="auto"/>
      </w:pPr>
      <w:r>
        <w:rPr>
          <w:rFonts w:ascii="Aptos" w:hAnsi="Aptos"/>
          <w:b w:val="0"/>
          <w:color w:val="66667A"/>
          <w:sz w:val="22"/>
        </w:rPr>
        <w:t>Decisão visual, prioridades de produto e plano de integração MatrizLib / Next / React</w:t>
      </w:r>
    </w:p>
    <w:p>
      <w:pPr>
        <w:spacing w:before="80" w:after="180" w:line="269" w:lineRule="auto"/>
        <w:ind w:left="202" w:right="202"/>
        <w:shd w:fill="F5F3FF"/>
      </w:pPr>
      <w:r>
        <w:rPr>
          <w:rFonts w:ascii="Aptos" w:hAnsi="Aptos"/>
          <w:b/>
          <w:color w:val="7C3AED"/>
          <w:sz w:val="18"/>
        </w:rPr>
        <w:t>CONCLUSÃO EXECUTIVA</w:t>
      </w:r>
      <w:r>
        <w:rPr>
          <w:rFonts w:ascii="Aptos" w:hAnsi="Aptos"/>
          <w:b/>
          <w:color w:val="151525"/>
          <w:sz w:val="22"/>
        </w:rPr>
        <w:br/>
        <w:t>Não devemos trocar a base atual pela aparência das referências. Devemos preservar a arquitetura funcional e aplicar sobre ela a direção visual aprovada. O design vence em desejo e impacto; o projeto vence em produto real, isolamento e evolução.</w:t>
      </w:r>
    </w:p>
    <w:p>
      <w:pPr>
        <w:spacing w:before="0" w:after="40" w:line="264" w:lineRule="auto"/>
      </w:pPr>
      <w:r>
        <w:rPr>
          <w:rFonts w:ascii="Aptos" w:hAnsi="Aptos"/>
          <w:b/>
          <w:color w:val="3B1D74"/>
          <w:sz w:val="20"/>
        </w:rPr>
        <w:t>Escopo</w:t>
      </w:r>
    </w:p>
    <w:p>
      <w:pPr>
        <w:spacing w:before="0" w:after="60" w:line="264" w:lineRule="auto"/>
      </w:pPr>
      <w:r>
        <w:rPr>
          <w:rFonts w:ascii="Aptos" w:hAnsi="Aptos"/>
          <w:b w:val="0"/>
          <w:color w:val="151525"/>
          <w:sz w:val="21"/>
        </w:rPr>
        <w:t>Auditoria combinada de UX, linguagem visual, responsividade, acessibilidade observável e arquitetura de componentes. Evidências: nove referências fornecidas e capturas atuais do Hub, Products, Store, Product Detail e Orders.</w:t>
      </w:r>
    </w:p>
    <w:p>
      <w:pPr>
        <w:spacing w:before="0" w:after="40" w:line="264" w:lineRule="auto"/>
      </w:pPr>
      <w:r>
        <w:rPr>
          <w:rFonts w:ascii="Aptos" w:hAnsi="Aptos"/>
          <w:b/>
          <w:color w:val="3B1D74"/>
          <w:sz w:val="20"/>
        </w:rPr>
        <w:t>Nota de método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66667A"/>
          <w:sz w:val="21"/>
        </w:rPr>
        <w:t>As notas visuais são heurísticas (0–10), não métricas absolutas. Acessibilidade completa exige testes de teclado, leitor de tela, zoom e contraste computado; screenshots sozinhos não provam conformidade.</w:t>
      </w:r>
    </w:p>
    <w:p>
      <w:r>
        <w:br w:type="page"/>
      </w:r>
    </w:p>
    <w:p>
      <w:pPr>
        <w:pStyle w:val="Heading1"/>
        <w:keepNext/>
      </w:pPr>
      <w:r>
        <w:t>1. Veredito: qual está melhor?</w:t>
      </w:r>
    </w:p>
    <w:p>
      <w:pPr>
        <w:spacing w:before="80" w:after="180" w:line="269" w:lineRule="auto"/>
        <w:ind w:left="202" w:right="202"/>
        <w:shd w:fill="F5F3FF"/>
      </w:pPr>
      <w:r>
        <w:rPr>
          <w:rFonts w:ascii="Aptos" w:hAnsi="Aptos"/>
          <w:b/>
          <w:color w:val="7C3AED"/>
          <w:sz w:val="18"/>
        </w:rPr>
        <w:t>DECISÃO</w:t>
      </w:r>
      <w:r>
        <w:rPr>
          <w:rFonts w:ascii="Aptos" w:hAnsi="Aptos"/>
          <w:b/>
          <w:color w:val="151525"/>
          <w:sz w:val="22"/>
        </w:rPr>
        <w:br/>
        <w:t>Para apresentação e impacto imediato, as referências estão melhores. Para servir como Business OS real, o projeto atual está muito à frente. O caminho certo é projeto atual + acabamento visual das referências.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40"/>
        <w:gridCol w:w="940"/>
        <w:gridCol w:w="1120"/>
        <w:gridCol w:w="1420"/>
        <w:gridCol w:w="3940"/>
      </w:tblGrid>
      <w:tr>
        <w:trPr>
          <w:tblHeader w:val="true"/>
        </w:trPr>
        <w:tc>
          <w:tcPr>
            <w:tcW w:type="dxa" w:w="1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Design</w:t>
            </w:r>
          </w:p>
        </w:tc>
        <w:tc>
          <w:tcPr>
            <w:tcW w:type="dxa" w:w="1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4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Vantagem</w:t>
            </w:r>
          </w:p>
        </w:tc>
        <w:tc>
          <w:tcPr>
            <w:tcW w:type="dxa" w:w="3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1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Direção visual</w:t>
            </w:r>
          </w:p>
        </w:tc>
        <w:tc>
          <w:tcPr>
            <w:tcW w:type="dxa" w:w="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9,2</w:t>
            </w:r>
          </w:p>
        </w:tc>
        <w:tc>
          <w:tcPr>
            <w:tcW w:type="dxa" w:w="1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8,0</w:t>
            </w:r>
          </w:p>
        </w:tc>
        <w:tc>
          <w:tcPr>
            <w:tcW w:type="dxa" w:w="14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Referência</w:t>
            </w:r>
          </w:p>
        </w:tc>
        <w:tc>
          <w:tcPr>
            <w:tcW w:type="dxa" w:w="3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A referência comunica mais impacto e desejo.</w:t>
            </w:r>
          </w:p>
        </w:tc>
      </w:tr>
      <w:tr>
        <w:tc>
          <w:tcPr>
            <w:tcW w:type="dxa" w:w="1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Hierarquia e densidade</w:t>
            </w:r>
          </w:p>
        </w:tc>
        <w:tc>
          <w:tcPr>
            <w:tcW w:type="dxa" w:w="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9,0</w:t>
            </w:r>
          </w:p>
        </w:tc>
        <w:tc>
          <w:tcPr>
            <w:tcW w:type="dxa" w:w="11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7,8</w:t>
            </w:r>
          </w:p>
        </w:tc>
        <w:tc>
          <w:tcPr>
            <w:tcW w:type="dxa" w:w="14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Referência</w:t>
            </w:r>
          </w:p>
        </w:tc>
        <w:tc>
          <w:tcPr>
            <w:tcW w:type="dxa" w:w="3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A implementação ainda deixa áreas amplas com pouco contexto.</w:t>
            </w:r>
          </w:p>
        </w:tc>
      </w:tr>
      <w:tr>
        <w:tc>
          <w:tcPr>
            <w:tcW w:type="dxa" w:w="1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Consistência do shell</w:t>
            </w:r>
          </w:p>
        </w:tc>
        <w:tc>
          <w:tcPr>
            <w:tcW w:type="dxa" w:w="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8,4</w:t>
            </w:r>
          </w:p>
        </w:tc>
        <w:tc>
          <w:tcPr>
            <w:tcW w:type="dxa" w:w="1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8,2</w:t>
            </w:r>
          </w:p>
        </w:tc>
        <w:tc>
          <w:tcPr>
            <w:tcW w:type="dxa" w:w="14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Empate técnico</w:t>
            </w:r>
          </w:p>
        </w:tc>
        <w:tc>
          <w:tcPr>
            <w:tcW w:type="dxa" w:w="3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O projeto normalizou variações presentes nas próprias imagens.</w:t>
            </w:r>
          </w:p>
        </w:tc>
      </w:tr>
      <w:tr>
        <w:tc>
          <w:tcPr>
            <w:tcW w:type="dxa" w:w="1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Responsividade prática</w:t>
            </w:r>
          </w:p>
        </w:tc>
        <w:tc>
          <w:tcPr>
            <w:tcW w:type="dxa" w:w="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8,5</w:t>
            </w:r>
          </w:p>
        </w:tc>
        <w:tc>
          <w:tcPr>
            <w:tcW w:type="dxa" w:w="11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8,4</w:t>
            </w:r>
          </w:p>
        </w:tc>
        <w:tc>
          <w:tcPr>
            <w:tcW w:type="dxa" w:w="14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Empate técnico</w:t>
            </w:r>
          </w:p>
        </w:tc>
        <w:tc>
          <w:tcPr>
            <w:tcW w:type="dxa" w:w="3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O projeto adaptou controles; a referência tem composição mais premium.</w:t>
            </w:r>
          </w:p>
        </w:tc>
      </w:tr>
      <w:tr>
        <w:tc>
          <w:tcPr>
            <w:tcW w:type="dxa" w:w="1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Acessibilidade provável</w:t>
            </w:r>
          </w:p>
        </w:tc>
        <w:tc>
          <w:tcPr>
            <w:tcW w:type="dxa" w:w="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7,0</w:t>
            </w:r>
          </w:p>
        </w:tc>
        <w:tc>
          <w:tcPr>
            <w:tcW w:type="dxa" w:w="1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8,2</w:t>
            </w:r>
          </w:p>
        </w:tc>
        <w:tc>
          <w:tcPr>
            <w:tcW w:type="dxa" w:w="14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Projeto</w:t>
            </w:r>
          </w:p>
        </w:tc>
        <w:tc>
          <w:tcPr>
            <w:tcW w:type="dxa" w:w="3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A implementação prioriza alvos e ações explícitas; falta auditoria assistiva.</w:t>
            </w:r>
          </w:p>
        </w:tc>
      </w:tr>
      <w:tr>
        <w:tc>
          <w:tcPr>
            <w:tcW w:type="dxa" w:w="1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Coerência funcional</w:t>
            </w:r>
          </w:p>
        </w:tc>
        <w:tc>
          <w:tcPr>
            <w:tcW w:type="dxa" w:w="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4,5</w:t>
            </w:r>
          </w:p>
        </w:tc>
        <w:tc>
          <w:tcPr>
            <w:tcW w:type="dxa" w:w="11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9,0</w:t>
            </w:r>
          </w:p>
        </w:tc>
        <w:tc>
          <w:tcPr>
            <w:tcW w:type="dxa" w:w="14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Projeto</w:t>
            </w:r>
          </w:p>
        </w:tc>
        <w:tc>
          <w:tcPr>
            <w:tcW w:type="dxa" w:w="3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As referências são conceito; o projeto conecta catálogo, loja, carrinho e pedidos.</w:t>
            </w:r>
          </w:p>
        </w:tc>
      </w:tr>
      <w:tr>
        <w:tc>
          <w:tcPr>
            <w:tcW w:type="dxa" w:w="1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Multitenancy</w:t>
            </w:r>
          </w:p>
        </w:tc>
        <w:tc>
          <w:tcPr>
            <w:tcW w:type="dxa" w:w="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3,0</w:t>
            </w:r>
          </w:p>
        </w:tc>
        <w:tc>
          <w:tcPr>
            <w:tcW w:type="dxa" w:w="1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9,3</w:t>
            </w:r>
          </w:p>
        </w:tc>
        <w:tc>
          <w:tcPr>
            <w:tcW w:type="dxa" w:w="14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Projeto</w:t>
            </w:r>
          </w:p>
        </w:tc>
        <w:tc>
          <w:tcPr>
            <w:tcW w:type="dxa" w:w="39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O isolamento existe no sistema, não apenas no seletor visual.</w:t>
            </w:r>
          </w:p>
        </w:tc>
      </w:tr>
      <w:tr>
        <w:tc>
          <w:tcPr>
            <w:tcW w:type="dxa" w:w="1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Reuso e evolução</w:t>
            </w:r>
          </w:p>
        </w:tc>
        <w:tc>
          <w:tcPr>
            <w:tcW w:type="dxa" w:w="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6,0</w:t>
            </w:r>
          </w:p>
        </w:tc>
        <w:tc>
          <w:tcPr>
            <w:tcW w:type="dxa" w:w="11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51525"/>
                <w:sz w:val="17"/>
              </w:rPr>
              <w:t>8,7</w:t>
            </w:r>
          </w:p>
        </w:tc>
        <w:tc>
          <w:tcPr>
            <w:tcW w:type="dxa" w:w="142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1525"/>
                <w:sz w:val="17"/>
              </w:rPr>
              <w:t>Projeto</w:t>
            </w:r>
          </w:p>
        </w:tc>
        <w:tc>
          <w:tcPr>
            <w:tcW w:type="dxa" w:w="394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Componentes e limites de domínio sustentam novas empresas e apps.</w:t>
            </w:r>
          </w:p>
        </w:tc>
      </w:tr>
    </w:tbl>
    <w:p>
      <w:pPr>
        <w:pStyle w:val="Heading2"/>
        <w:keepNext/>
      </w:pPr>
      <w:r>
        <w:t>Leitura direta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As referências possuem maior presença de marca, tipografia mais segura, superfícies mais ricas, navegação mais densa e melhor uso de imagem. A implementação atual é mais sóbria e, em alguns viewports, esparsa. Em compensação, ela já conecta tenant, catálogo, disponibilidade, loja, carrinho e pedidos sem criar versões paralelas dos mesmos dados.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Há também inconsistências entre as próprias referências — nomes e preços variam, shells mudam, e algumas composições móveis não caberiam literalmente em um telefone comum. A implementação faz a normalização correta; a fidelidade deve mirar a linguagem, não copiar contradições.</w:t>
      </w:r>
    </w:p>
    <w:p>
      <w:r>
        <w:br w:type="page"/>
      </w:r>
    </w:p>
    <w:p>
      <w:pPr>
        <w:pStyle w:val="Heading1"/>
        <w:keepNext/>
      </w:pPr>
      <w:r>
        <w:t>2. Evidência visual comparada</w:t>
      </w:r>
    </w:p>
    <w:p>
      <w:pPr>
        <w:pStyle w:val="Heading2"/>
        <w:keepNext/>
      </w:pPr>
      <w:r>
        <w:t>2.1 Hub e entrada no Business 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Referência aprovada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5152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Implementação atual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1780032"/>
                  <wp:docPr id="1" name="Picture 1" descr="Referência visual: 2.1 Hub e entrada no Business 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m do Codex 24 de ago. de 2026, 15_01_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780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1668780"/>
                  <wp:docPr id="2" name="Picture 2" descr="Implementação Seumei: 2.1 Hub e entrada no Business 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umei-hub-desk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668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64" w:lineRule="auto"/>
      </w:pPr>
      <w:r>
        <w:rPr>
          <w:rFonts w:ascii="Aptos" w:hAnsi="Aptos"/>
          <w:b w:val="0"/>
          <w:color w:val="66667A"/>
          <w:sz w:val="19"/>
        </w:rPr>
        <w:t>Saúde: boa. O Hub atual preserva foco, empresas e apps e já usa duas empresas isoladas. Para subir de nível, precisa recuperar a compactação da navegação lateral, o app switcher mais expressivo e cartões com informação operacional mais rica.</w:t>
      </w:r>
    </w:p>
    <w:p>
      <w:pPr>
        <w:pStyle w:val="Heading2"/>
        <w:keepNext/>
      </w:pPr>
      <w:r>
        <w:t>2.2 Products administrativo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Referência aprovada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5152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Implementação atual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1670043"/>
                  <wp:docPr id="3" name="Picture 3" descr="Referência visual: 2.2 Products administrativ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m do Codex 24 de ago. de 2026, 15_01_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6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1670043"/>
                  <wp:docPr id="4" name="Picture 4" descr="Implementação Seumei: 2.2 Products administrativ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umei-products-desk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6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64" w:lineRule="auto"/>
      </w:pPr>
      <w:r>
        <w:rPr>
          <w:rFonts w:ascii="Aptos" w:hAnsi="Aptos"/>
          <w:b w:val="0"/>
          <w:color w:val="66667A"/>
          <w:sz w:val="19"/>
        </w:rPr>
        <w:t>Saúde: muito boa. Geometria e estrutura estão próximas. A referência vence na densidade da tabela, escala de tipografia e riqueza de controles; o projeto vence porque toggles, estoque e disponibilidade alimentam a loja publicada de verdade.</w:t>
      </w:r>
    </w:p>
    <w:p>
      <w:r>
        <w:br w:type="page"/>
      </w:r>
    </w:p>
    <w:p>
      <w:pPr>
        <w:pStyle w:val="Heading2"/>
        <w:keepNext/>
      </w:pPr>
      <w:r>
        <w:t>2.3 Store mobile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Referência aprovada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5152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Implementação atual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4744230"/>
                  <wp:docPr id="5" name="Picture 5" descr="Referência visual: 2.3 Store mob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m do Codex 24 de ago. de 2026, 15_01_5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4744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5787174"/>
                  <wp:docPr id="6" name="Picture 6" descr="Implementação Seumei: 2.3 Store mob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umei-store-mob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5787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64" w:lineRule="auto"/>
      </w:pPr>
      <w:r>
        <w:rPr>
          <w:rFonts w:ascii="Aptos" w:hAnsi="Aptos"/>
          <w:b w:val="0"/>
          <w:color w:val="66667A"/>
          <w:sz w:val="19"/>
        </w:rPr>
        <w:t>Saúde: boa, com gap visual claro. A referência tem melhor composição editorial, categorias com imagem e cards mais premium. A implementação tem melhor adaptação a 430 px, mas precisa melhorar escala da marca, recorte do hero, ritmo vertical e barra inferior.</w:t>
      </w:r>
    </w:p>
    <w:p>
      <w:pPr>
        <w:pStyle w:val="Heading2"/>
        <w:keepNext/>
      </w:pPr>
      <w:r>
        <w:t>2.4 Product detail mobile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Referência aprovada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5152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Implementação atual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4744230"/>
                  <wp:docPr id="7" name="Picture 7" descr="Referência visual: 2.4 Product detail mob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m do Codex 24 de ago. de 2026, 15_02_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4744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70048" cy="9978528"/>
                  <wp:docPr id="8" name="Picture 8" descr="Implementação Seumei: 2.4 Product detail mob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umei-product-detail-mob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9978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64" w:lineRule="auto"/>
      </w:pPr>
      <w:r>
        <w:rPr>
          <w:rFonts w:ascii="Aptos" w:hAnsi="Aptos"/>
          <w:b w:val="0"/>
          <w:color w:val="66667A"/>
          <w:sz w:val="19"/>
        </w:rPr>
        <w:t>Saúde: boa e funcional. A referência vence em acabamento e no painel de preço/CTA. O projeto mantém alvos de toque mais realistas em tela estreita, cálculo real de modificadores, quantidade e total; deve evoluir galeria, tipografia, seleção e sticky CTA.</w:t>
      </w:r>
    </w:p>
    <w:p>
      <w:r>
        <w:br w:type="page"/>
      </w:r>
    </w:p>
    <w:p>
      <w:pPr>
        <w:pStyle w:val="Heading1"/>
        <w:keepNext/>
      </w:pPr>
      <w:r>
        <w:t>3. Pontos fortes preserváveis</w:t>
      </w:r>
    </w:p>
    <w:p>
      <w:pPr>
        <w:pStyle w:val="Heading2"/>
        <w:keepNext/>
      </w:pPr>
      <w:r>
        <w:t>Arquitetura real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A implementação já representa um produto operacional, não uma coleção de telas. O mesmo produto alimenta Products, Store, Cart e Orders.</w:t>
      </w:r>
    </w:p>
    <w:p>
      <w:pPr>
        <w:pStyle w:val="Heading2"/>
        <w:keepNext/>
      </w:pPr>
      <w:r>
        <w:t>Multitenancy demonstrável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Galáxia Burger e Matriz Labs têm dados independentes, e o usuário Demo troca de empresa sem carregar catálogo ou pedidos do outro tenant.</w:t>
      </w:r>
    </w:p>
    <w:p>
      <w:pPr>
        <w:pStyle w:val="Heading2"/>
        <w:keepNext/>
      </w:pPr>
      <w:r>
        <w:t>Shell único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Hub e aplicações compartilham uma estrutura comum; isso evita topbars e sidebars clonadas por módulo.</w:t>
      </w:r>
    </w:p>
    <w:p>
      <w:pPr>
        <w:pStyle w:val="Heading2"/>
        <w:keepNext/>
      </w:pPr>
      <w:r>
        <w:t>Responsividade intencional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O mobile reorganiza conteúdo e mantém ações explícitas; não é apenas desktop reduzido.</w:t>
      </w:r>
    </w:p>
    <w:p>
      <w:pPr>
        <w:pStyle w:val="Heading2"/>
        <w:keepNext/>
      </w:pPr>
      <w:r>
        <w:t>Estado de domínio fora do JSX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Preço, disponibilidade e operações fluem por aplicação/repositórios; componentes não são o banco do produto.</w:t>
      </w:r>
    </w:p>
    <w:p>
      <w:pPr>
        <w:pStyle w:val="Heading1"/>
        <w:keepNext/>
      </w:pPr>
      <w:r>
        <w:t>4. Gaps que mais afastam o projeto do design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300"/>
        <w:gridCol w:w="61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Melhoria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91C1C"/>
                <w:sz w:val="18"/>
              </w:rPr>
              <w:t>P0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MatrizLib + tokens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Consolidar tipografia, superfícies, bordas, estados e foco sem mover domínio para packages.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91C1C"/>
                <w:sz w:val="18"/>
              </w:rPr>
              <w:t>P0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Shell inteligente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Aproximar topbar/sidebar das referências: proporção, app switcher, ações contextuais e navegação por teclado.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91C1C"/>
                <w:sz w:val="18"/>
              </w:rPr>
              <w:t>P0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Densidade desktop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Reduzir vazios, aumentar utilidade das áreas amplas e manter leitura em janelas menores.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45309"/>
                <w:sz w:val="18"/>
              </w:rPr>
              <w:t>P1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Store mobile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Refinar header, cartões, categorias e barra inferior; preservar alvos de toque e conteúdo real.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45309"/>
                <w:sz w:val="18"/>
              </w:rPr>
              <w:t>P1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Product detail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Melhorar galeria, hierarquia e cards de modificadores; manter cálculo e seleção no domínio/aplicação.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45309"/>
                <w:sz w:val="18"/>
              </w:rPr>
              <w:t>P1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Estados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Documentar loading, vazio, erro, acesso negado, produto indisponível e confirmação.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5803D"/>
                <w:sz w:val="18"/>
              </w:rPr>
              <w:t>P2</w:t>
            </w:r>
          </w:p>
        </w:tc>
        <w:tc>
          <w:tcPr>
            <w:tcW w:type="dxa" w:w="2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8"/>
              </w:rPr>
              <w:t>Regressão visual</w:t>
            </w:r>
          </w:p>
        </w:tc>
        <w:tc>
          <w:tcPr>
            <w:tcW w:type="dxa" w:w="61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8"/>
              </w:rPr>
              <w:t>Capturas determinísticas por viewport para bloquear deriva de geometria e tokens.</w:t>
            </w:r>
          </w:p>
        </w:tc>
      </w:tr>
    </w:tbl>
    <w:p>
      <w:pPr>
        <w:pStyle w:val="Heading2"/>
        <w:keepNext/>
      </w:pPr>
      <w:r>
        <w:t>Risco principal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O maior risco agora não é falta de tela; é criar um segundo sistema visual ao importar MatrizLib, ou mover componentes com semântica de Product/Orders/Store para packages genéricos. A integração deve ser por tokens e primitives, mantendo componentes de produto dentro do Seumei.</w:t>
      </w:r>
    </w:p>
    <w:p>
      <w:r>
        <w:br w:type="page"/>
      </w:r>
    </w:p>
    <w:p>
      <w:pPr>
        <w:pStyle w:val="Heading1"/>
        <w:keepNext/>
      </w:pPr>
      <w:r>
        <w:t>5. Os 10 próximos passos recomendados</w:t>
      </w:r>
    </w:p>
    <w:p>
      <w:pPr>
        <w:pStyle w:val="Heading2"/>
        <w:keepNext/>
      </w:pPr>
      <w:r>
        <w:t>1. Baseline visual e contrato MatrizLib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Congelar screenshots, mapear tokens e criar adapters Seumei sobre primitives já existentes. Saída: matriz de adoção e zero clone novo de primitive.</w:t>
      </w:r>
    </w:p>
    <w:p>
      <w:pPr>
        <w:pStyle w:val="Heading2"/>
        <w:keepNext/>
      </w:pPr>
      <w:r>
        <w:t>2. Shell inteligente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Consolidar SmartTopbar, ContextSidebar, AppSwitcher e contribuições por app, com mouse, foco, teclado, toque e reduced motion.</w:t>
      </w:r>
    </w:p>
    <w:p>
      <w:pPr>
        <w:pStyle w:val="Heading2"/>
        <w:keepNext/>
      </w:pPr>
      <w:r>
        <w:t>3. Dashboard operacional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Projetar métricas a partir de Orders, Catalog e Customers. Nenhum número nasce dentro do componente.</w:t>
      </w:r>
    </w:p>
    <w:p>
      <w:pPr>
        <w:pStyle w:val="Heading2"/>
        <w:keepNext/>
      </w:pPr>
      <w:r>
        <w:t>4. CRM e Customer 360 inicial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Lista real de clientes, saúde da base e histórico de compras consumindo os mesmos pedidos do comércio.</w:t>
      </w:r>
    </w:p>
    <w:p>
      <w:pPr>
        <w:pStyle w:val="Heading2"/>
        <w:keepNext/>
      </w:pPr>
      <w:r>
        <w:t>5. Orders 360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Detalhe do pedido, cliente, itens, linha do tempo, alteração de status e políticas de cancelamento centralizadas.</w:t>
      </w:r>
    </w:p>
    <w:p>
      <w:pPr>
        <w:pStyle w:val="Heading2"/>
        <w:keepNext/>
      </w:pPr>
      <w:r>
        <w:t>6. Store activation/configuração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Ativação, slug/domínio, entrega, pagamento e apresentação publicada separados de branding e preferências pessoais.</w:t>
      </w:r>
    </w:p>
    <w:p>
      <w:pPr>
        <w:pStyle w:val="Heading2"/>
        <w:keepNext/>
      </w:pPr>
      <w:r>
        <w:t>7. Onboarding progressivo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Empresa, template, apps, membros, produto opcional e revisão; cada criação já nasce sob TenantContext validado.</w:t>
      </w:r>
    </w:p>
    <w:p>
      <w:pPr>
        <w:pStyle w:val="Heading2"/>
        <w:keepNext/>
      </w:pPr>
      <w:r>
        <w:t>8. Persistência e autorização reforçadas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Adapter Prisma, índices/constraints por tenant e policies por operação/app, sem companyId arbitrário como prova de acesso.</w:t>
      </w:r>
    </w:p>
    <w:p>
      <w:pPr>
        <w:pStyle w:val="Heading2"/>
        <w:keepNext/>
      </w:pPr>
      <w:r>
        <w:t>9. Web/Tauri por portas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Clipboard, notificações, storage, filesystem e janela atrás de interfaces; React permanece neutro de plataforma.</w:t>
      </w:r>
    </w:p>
    <w:p>
      <w:pPr>
        <w:pStyle w:val="Heading2"/>
        <w:keepNext/>
      </w:pPr>
      <w:r>
        <w:t>10. E2E, acessibilidade e regressão visual</w:t>
      </w:r>
    </w:p>
    <w:p>
      <w:pPr>
        <w:spacing w:before="0" w:after="140" w:line="264" w:lineRule="auto"/>
      </w:pPr>
      <w:r>
        <w:rPr>
          <w:rFonts w:ascii="Aptos" w:hAnsi="Aptos"/>
          <w:b w:val="0"/>
          <w:color w:val="151525"/>
          <w:sz w:val="20"/>
        </w:rPr>
        <w:t>Cenário completo Demo Galáxia Burger → Store → Order → Dashboard/CRM → Matriz Labs, em desktop/mobile e com testes de isolamento.</w:t>
      </w:r>
    </w:p>
    <w:p>
      <w:r>
        <w:br w:type="page"/>
      </w:r>
    </w:p>
    <w:p>
      <w:pPr>
        <w:pStyle w:val="Heading1"/>
        <w:keepNext/>
      </w:pPr>
      <w:r>
        <w:t>6. Nova work/branch com MatrizLib</w:t>
      </w:r>
    </w:p>
    <w:p>
      <w:pPr>
        <w:spacing w:before="80" w:after="180" w:line="269" w:lineRule="auto"/>
        <w:ind w:left="202" w:right="202"/>
        <w:shd w:fill="F5F3FF"/>
      </w:pPr>
      <w:r>
        <w:rPr>
          <w:rFonts w:ascii="Aptos" w:hAnsi="Aptos"/>
          <w:b/>
          <w:color w:val="7C3AED"/>
          <w:sz w:val="18"/>
        </w:rPr>
        <w:t>RECOMENDAÇÃO</w:t>
      </w:r>
      <w:r>
        <w:rPr>
          <w:rFonts w:ascii="Aptos" w:hAnsi="Aptos"/>
          <w:b/>
          <w:color w:val="151525"/>
          <w:sz w:val="22"/>
        </w:rPr>
        <w:br/>
        <w:t>Criar uma worktree isolada dentro deste monorepo, a partir da main limpa, na branch codex/seumei-matrizlib-integration. Não abrir agora um repositório paralelo nem reconstruir Seumei em apps/seumei-next.</w:t>
      </w:r>
    </w:p>
    <w:p>
      <w:pPr>
        <w:pStyle w:val="Heading2"/>
        <w:keepNext/>
      </w:pPr>
      <w:r>
        <w:t>Por que esta opção é melhor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A MatrizLib canônica já existe em packages/design/system e packages/design/ui; apps/matrizlib é o portal de documentação e prova, não a biblioteca que o Seumei deve importar. Permanecer no monorepo conserva contratos, lint arquitetural, bootstrap, fixtures, testes e histórico de evolução.</w:t>
      </w:r>
    </w:p>
    <w:p>
      <w:pPr>
        <w:pStyle w:val="Heading2"/>
        <w:keepNext/>
      </w:pPr>
      <w:r>
        <w:t>Quando um novo app seria justificável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Somente se o objetivo for um laboratório temporário de migração com prazo para ser absorvido, ou um produto realmente independente. Para reuso de componentes, o portal MatrizLib e o Storybook existente já são superfícies melhores do que duplicar o Seumei.</w:t>
      </w:r>
    </w:p>
    <w:p>
      <w:pPr>
        <w:pStyle w:val="Heading2"/>
        <w:keepNext/>
      </w:pPr>
      <w:r>
        <w:t>Sequência segura da branch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Capturar baseline visual e funcional antes da mudança.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Mapear componentes Seumei para primitives MatrizLib existentes.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Adicionar um adapter local Seumei somente onde a primitive precisar de semântica visual própria.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Migrar primeiro Button, Input, Surface, Badge, Tabs, Dialog e feedback.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Migrar depois shell e navegação, preservando contratos de app e acessibilidade.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Validar Products, Store e Product Detail nos mesmos viewports.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Extrair para packages apenas componentes neutros usados por dois ou mais apps.</w:t>
      </w:r>
    </w:p>
    <w:p>
      <w:r>
        <w:br w:type="page"/>
      </w:r>
    </w:p>
    <w:p>
      <w:pPr>
        <w:pStyle w:val="Heading1"/>
        <w:keepNext/>
      </w:pPr>
      <w:r>
        <w:t>7. Arquitetura React para componentes reutilizáveis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60"/>
        <w:gridCol w:w="3500"/>
        <w:gridCol w:w="3500"/>
      </w:tblGrid>
      <w:tr>
        <w:trPr>
          <w:tblHeader w:val="true"/>
        </w:trPr>
        <w:tc>
          <w:tcPr>
            <w:tcW w:type="dxa" w:w="2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Pode possuir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B1D7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Não pode possuir</w:t>
            </w:r>
          </w:p>
        </w:tc>
      </w:tr>
      <w:tr>
        <w:tc>
          <w:tcPr>
            <w:tcW w:type="dxa" w:w="2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MatrizLib / design-system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Tokens semânticos, temas, metadata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Product, Customer, Order, Store</w:t>
            </w:r>
          </w:p>
        </w:tc>
      </w:tr>
      <w:tr>
        <w:tc>
          <w:tcPr>
            <w:tcW w:type="dxa" w:w="236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MatrizLib / design-ui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Button, Input, Dialog, Tabs, Surface, Stack, feedback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Copy, autorização e regras Seumei</w:t>
            </w:r>
          </w:p>
        </w:tc>
      </w:tr>
      <w:tr>
        <w:tc>
          <w:tcPr>
            <w:tcW w:type="dxa" w:w="2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Seumei / shell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SmartTopbar, ContextSidebar, AppSwitcher e contratos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Implementação duplicada por página</w:t>
            </w:r>
          </w:p>
        </w:tc>
      </w:tr>
      <w:tr>
        <w:tc>
          <w:tcPr>
            <w:tcW w:type="dxa" w:w="236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Seumei / feature UI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ProductTable, OrderTimeline, CustomerSummary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Estado persistente como banco global</w:t>
            </w:r>
          </w:p>
        </w:tc>
      </w:tr>
      <w:tr>
        <w:tc>
          <w:tcPr>
            <w:tcW w:type="dxa" w:w="2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Seumei / presenters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Entity → ViewModel de tela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JSX consumindo entity crua</w:t>
            </w:r>
          </w:p>
        </w:tc>
      </w:tr>
      <w:tr>
        <w:tc>
          <w:tcPr>
            <w:tcW w:type="dxa" w:w="236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Seumei / application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Use cases, tenant context, policies, pricing</w:t>
            </w:r>
          </w:p>
        </w:tc>
        <w:tc>
          <w:tcPr>
            <w:tcW w:type="dxa" w:w="3500"/>
            <w:shd w:fill="FAF9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Dependência de React ou Tauri</w:t>
            </w:r>
          </w:p>
        </w:tc>
      </w:tr>
      <w:tr>
        <w:tc>
          <w:tcPr>
            <w:tcW w:type="dxa" w:w="23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1525"/>
                <w:sz w:val="17"/>
              </w:rPr>
              <w:t>Adapters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Web, Tauri, Prisma, fixture/demo</w:t>
            </w:r>
          </w:p>
        </w:tc>
        <w:tc>
          <w:tcPr>
            <w:tcW w:type="dxa" w:w="3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51525"/>
                <w:sz w:val="17"/>
              </w:rPr>
              <w:t>Regra de negócio forte</w:t>
            </w:r>
          </w:p>
        </w:tc>
      </w:tr>
    </w:tbl>
    <w:p>
      <w:pPr>
        <w:pStyle w:val="Heading2"/>
        <w:keepNext/>
      </w:pPr>
      <w:r>
        <w:t>Estrutura sugerida dentro de apps/seumei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app/ — rotas e composição Next; src/domain/ — entidades e regras; src/application/ — casos de uso; src/ui/presenters/ — ViewModels; src/ui/shell/ — shell compartilhado; src/ui/features/&lt;feature&gt;/ — componentes de domínio; src/integration/ — adapters; src/mock/ — fixtures e repositories demo.</w:t>
      </w:r>
    </w:p>
    <w:p>
      <w:pPr>
        <w:pStyle w:val="Heading2"/>
        <w:keepNext/>
      </w:pPr>
      <w:r>
        <w:t>Regra de React puro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Use React para composição e estado transitório de interface. Server Components podem montar dados e Client Components entram apenas onde há interação. Hooks chamam application services; não fazem query multi-tenant direta. Zustand/context, se usados, ficam com filtros, diálogos, seleção e navegação — nunca como repositório de Product, Customer ou Order.</w:t>
      </w:r>
    </w:p>
    <w:p>
      <w:pPr>
        <w:pStyle w:val="Heading2"/>
        <w:keepNext/>
      </w:pPr>
      <w:r>
        <w:t>Teste para decidir se algo é reutilizável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Se o nome do componente precisa conter Product, Customer, Order, Store ou Galáxia Burger, ele provavelmente pertence ao Seumei. Se expressa um padrão visual neutro, já tem dois consumidores reais e uma API estável, pode ser candidato à MatrizLib.</w:t>
      </w:r>
    </w:p>
    <w:p>
      <w:r>
        <w:br w:type="page"/>
      </w:r>
    </w:p>
    <w:p>
      <w:pPr>
        <w:pStyle w:val="Heading1"/>
        <w:keepNext/>
      </w:pPr>
      <w:r>
        <w:t>8. Checklist de aceitação da integração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Nenhuma importação de apps/&lt;outro-app&gt;/src/**.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Nenhum domínio forte movido para packages/design/**.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UI continua consumindo ViewModels, não entities cruas.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MatrizLib mantém primitives neutras e Seumei mantém composição de produto.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Topbar e sidebar continuam operáveis por teclado e toque.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Tema do usuário permanece separado de branding e StoreAppearance.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Products, Store e Orders continuam compartilhando as mesmas entidades por tenant.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Galáxia Burger e Matriz Labs permanecem isoladas em leitura e mutação.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Web e Tauri não vazam APIs de plataforma em componentes React.</w:t>
      </w:r>
    </w:p>
    <w:p>
      <w:pPr>
        <w:pStyle w:val="ListBullet"/>
      </w:pPr>
      <w:r>
        <w:rPr>
          <w:rFonts w:ascii="Aptos" w:hAnsi="Aptos"/>
          <w:color w:val="151525"/>
          <w:sz w:val="20"/>
        </w:rPr>
        <w:t>Typecheck, lint, testes, build, execução, capturas e comparação visual passam na branch.</w:t>
      </w:r>
    </w:p>
    <w:p>
      <w:pPr>
        <w:pStyle w:val="Heading1"/>
        <w:keepNext/>
      </w:pPr>
      <w:r>
        <w:t>9. Limites desta auditoria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51525"/>
          <w:sz w:val="21"/>
        </w:rPr>
        <w:t>A comparação visual usa capturas fornecidas e capturas atuais já aceitas do projeto. Não foram reexecutados nesta auditoria todos os gestos, fluxos de teclado, leitor de tela, zoom 200%, contraste computado ou comportamento Tauri. Esses itens entram no passo 10 do roadmap.</w:t>
      </w:r>
    </w:p>
    <w:p>
      <w:pPr>
        <w:pStyle w:val="Heading1"/>
        <w:keepNext/>
      </w:pPr>
      <w:r>
        <w:t>10. Próxima decisão</w:t>
      </w:r>
    </w:p>
    <w:p>
      <w:pPr>
        <w:spacing w:before="80" w:after="180" w:line="269" w:lineRule="auto"/>
        <w:ind w:left="202" w:right="202"/>
        <w:shd w:fill="F5F3FF"/>
      </w:pPr>
      <w:r>
        <w:rPr>
          <w:rFonts w:ascii="Aptos" w:hAnsi="Aptos"/>
          <w:b/>
          <w:color w:val="7C3AED"/>
          <w:sz w:val="18"/>
        </w:rPr>
        <w:t>DIREÇÃO RECOMENDADA</w:t>
      </w:r>
      <w:r>
        <w:rPr>
          <w:rFonts w:ascii="Aptos" w:hAnsi="Aptos"/>
          <w:b/>
          <w:color w:val="151525"/>
          <w:sz w:val="22"/>
        </w:rPr>
        <w:br/>
        <w:t>Abrir a branch de integração MatrizLib, preservar o Seumei atual e executar primeiro uma fatia curta: tokens + primitives + shell. Depois, validar visualmente Products e Store antes de avançar para Dashboard e CRM.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7A"/>
        <w:sz w:val="16"/>
      </w:rPr>
      <w:t>Matriz • Seumei • 25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7A"/>
        <w:sz w:val="16"/>
      </w:rPr>
      <w:t>SEUMEI  |  PRODUCT &amp; ARCHITECTURE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51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B1D7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B1D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15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Seumei — Laudo de Design e Evolução</dc:title>
  <dc:subject>Referências aprovadas versus implementação e plano MatrizLib</dc:subject>
  <dc:creator>Matriz / Codex</dc:creator>
  <cp:keywords>Seumei, MatrizLib, design audit, React, Next.js, multitenancy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