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280"/>
        <w:jc w:val="center"/>
      </w:pPr>
      <w:r>
        <w:rPr>
          <w:rFonts w:ascii="Calibri" w:hAnsi="Calibri"/>
          <w:b/>
          <w:color w:val="8B5CF6"/>
          <w:sz w:val="20"/>
        </w:rPr>
        <w:t>RELATÓRIO DE IMPLEMENTAÇÃO  ·  24 AGO 2026</w:t>
      </w:r>
    </w:p>
    <w:p>
      <w:pPr>
        <w:spacing w:after="160"/>
        <w:jc w:val="center"/>
      </w:pPr>
      <w:r>
        <w:rPr>
          <w:rFonts w:ascii="Calibri" w:hAnsi="Calibri"/>
          <w:b/>
          <w:color w:val="121526"/>
          <w:sz w:val="60"/>
        </w:rPr>
        <w:t>Seumei Business OS</w:t>
      </w:r>
    </w:p>
    <w:p>
      <w:pPr>
        <w:spacing w:after="400"/>
        <w:jc w:val="center"/>
      </w:pPr>
      <w:r>
        <w:rPr>
          <w:rFonts w:ascii="Calibri" w:hAnsi="Calibri"/>
          <w:color w:val="5E6478"/>
          <w:sz w:val="30"/>
        </w:rPr>
        <w:t>Fundação multiempresa, shell inteligente e ponto de retomada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 descr="Captura do Seumei Hub em desktop com duas empresas e aplicativos disponíve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mei-hub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5E6478"/>
          <w:sz w:val="18"/>
        </w:rPr>
        <w:t>Seumei Hub em execução com Galáxia Burger e Matriz Labs isoladas.</w:t>
      </w:r>
    </w:p>
    <w:p>
      <w:pPr>
        <w:spacing w:before="120"/>
        <w:jc w:val="center"/>
      </w:pPr>
      <w:r>
        <w:rPr>
          <w:rFonts w:ascii="Calibri" w:hAnsi="Calibri"/>
          <w:b/>
          <w:color w:val="177245"/>
          <w:sz w:val="21"/>
        </w:rPr>
        <w:t>Status: fundação aprovada, integrada e publicada na main (90a377d)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B5CF6"/>
                <w:sz w:val="21"/>
              </w:rPr>
              <w:t xml:space="preserve">MARCO ATUAL  </w:t>
            </w:r>
            <w:r>
              <w:rPr>
                <w:rFonts w:ascii="Calibri" w:hAnsi="Calibri"/>
                <w:color w:val="121526"/>
                <w:sz w:val="21"/>
              </w:rPr>
              <w:t>A Seumei deixou de depender de uma seleção visual de empresa e passou a resolver operações por usuário autenticado, membership validada e tenant confiável.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Esta entrega consolidou a fundação pós-login da Seumei sem reconstruir o produto do zero. A arquitetura existente que já respeitava o monorepo Matriz foi preservada; os pontos frágeis de estado global e contexto único foram substituídos por domínios locais, contratos explícitos e repositórios vinculados ao tenant.</w:t>
      </w:r>
    </w:p>
    <w:p>
      <w:r>
        <w:rPr>
          <w:rFonts w:ascii="Calibri" w:hAnsi="Calibri"/>
        </w:rPr>
        <w:t>O modo demo agora é a porta de entrada padrão para testes práticos. A conta demo navega pela mesma cadeia de autenticação e autorização da aplicação, participa de Galáxia Burger e Matriz Labs e mantém dados operacionais e aplicativos separados entre as empresas.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Merge local concluído sem conflitos e publicado na branch main.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Conta demo canônica: demo@seumei.local, com acesso de um clique.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Hub, troca de empresa, registro de aplicativos e shell compartilhado implementados.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Preferência pessoal de aparência separada de branding da empresa e apresentação da loja.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20/20 testes Seumei e 148/148 verificações globais aprovados na árvore publicada.</w:t>
      </w:r>
    </w:p>
    <w:p>
      <w:pPr>
        <w:pStyle w:val="Heading1"/>
        <w:keepNext/>
      </w:pPr>
      <w:r>
        <w:t>2. Arquitetura encontrada e decisões de preservação</w:t>
      </w:r>
    </w:p>
    <w:p>
      <w:r>
        <w:rPr>
          <w:rFonts w:ascii="Calibri" w:hAnsi="Calibri"/>
        </w:rPr>
        <w:t>O repositório é um monorepo pnpm/Turborepo orientado a aplicativos. As leis arquiteturais exigem domínio forte dentro do aplicativo, comunicação entre apps apenas por contratos públicos e extração tardia para packages compartilhados. A refatoração respeitou esse modelo: o domínio Seumei permaneceu em apps/seumei e MatrizLib foi consumida como infraestrutura visual compartilhada.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600"/>
        <w:gridCol w:w="5460"/>
      </w:tblGrid>
      <w:tr>
        <w:trPr>
          <w:tblHeader w:val="true"/>
        </w:trPr>
        <w:tc>
          <w:tcPr>
            <w:tcW w:type="dxa" w:w="23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Área descoberta</w:t>
            </w:r>
          </w:p>
        </w:tc>
        <w:tc>
          <w:tcPr>
            <w:tcW w:type="dxa" w:w="16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Decisão</w:t>
            </w:r>
          </w:p>
        </w:tc>
        <w:tc>
          <w:tcPr>
            <w:tcW w:type="dxa" w:w="546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Resultado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Autenticação Matriz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245"/>
                <w:sz w:val="18"/>
              </w:rPr>
              <w:t>Preservada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O modo demo usa o broker e a sessão existentes.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Login Seumei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245"/>
                <w:sz w:val="18"/>
              </w:rPr>
              <w:t>Preservado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Somente o acesso demo foi acrescentado; a experiência aceita não foi redesenhada.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Monorepo e manifests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245"/>
                <w:sz w:val="18"/>
              </w:rPr>
              <w:t>Preservados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Nenhum import interno entre aplicativos foi introduzido.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MatrizLib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  <w:sz w:val="18"/>
              </w:rPr>
              <w:t>Integrada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ThemeToggle e superfícies de autenticação continuam compartilhados.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Estado pós-login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  <w:sz w:val="18"/>
              </w:rPr>
              <w:t>Refatorado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Tenant, membership e apps agora possuem contratos explícitos.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Navegação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  <w:sz w:val="18"/>
              </w:rPr>
              <w:t>Consolidada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Topbar, sidebar e app switcher pertencem ao shell Seumei.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Mapa de domínios</w:t>
      </w:r>
    </w:p>
    <w:p>
      <w:r>
        <w:rPr>
          <w:rFonts w:ascii="Calibri" w:hAnsi="Calibri"/>
        </w:rPr>
        <w:t>O mapa abaixo registra ownership e maturidade. Os limites seguem a realidade atual do aplicativo, sem criar um pacote de domínio universal nem antecipar complexidade de ERP.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810"/>
        <w:gridCol w:w="3500"/>
      </w:tblGrid>
      <w:tr>
        <w:trPr>
          <w:tblHeader w:val="true"/>
        </w:trPr>
        <w:tc>
          <w:tcPr>
            <w:tcW w:type="dxa" w:w="205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Domínio</w:t>
            </w:r>
          </w:p>
        </w:tc>
        <w:tc>
          <w:tcPr>
            <w:tcW w:type="dxa" w:w="381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Ownership / estado atual</w:t>
            </w:r>
          </w:p>
        </w:tc>
        <w:tc>
          <w:tcPr>
            <w:tcW w:type="dxa" w:w="35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Próximo uso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Identity / Access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Autenticação compartilhada preservada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Sessões reais e recuperação de conta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Companies / Tenant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Company e CompanyBranding implementados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Onboarding e persistência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Membership / Authorization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Membership, TenantContext e policy implementados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Permissões por operação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Application Catalog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AppDefinition tipado implementado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Contribuições de comandos e rotas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Installed Applications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Instalação por company implementada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Ativar/desativar apps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Catalog / Products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Limite definido; slice ainda pendente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Produtos, categorias e modificadores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Customers / CRM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Limite definido; slice ainda pendente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Customer List e Customer 360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Orders / Commerce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Limite definido; slice ainda pendente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Carrinho, checkout e pedido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Store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Separação conceitual definida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Resolver público, catálogo publicado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Inventory / Finance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Apps registrados; domínio pendente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Sinais operacionais mínimos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Marketing / Reporting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Apps registrados; domínio pendente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Leitura de dados compartilhados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Platform / Shell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Shell inteligente implementado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Contribuições contextuais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Preferences / Appearance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Preferência pessoal implementada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Persistência por usuário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Arquitetura de tenant e isolamento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245"/>
                <w:sz w:val="21"/>
              </w:rPr>
              <w:t xml:space="preserve">CADEIA DE CONFIANÇA  </w:t>
            </w:r>
            <w:r>
              <w:rPr>
                <w:rFonts w:ascii="Calibri" w:hAnsi="Calibri"/>
                <w:color w:val="121526"/>
                <w:sz w:val="21"/>
              </w:rPr>
              <w:t>Usuário autenticado → membership validada → TenantContext resolvido → policy de aplicativo → repositório vinculado ao tenant.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O companyId recebido por uma rota ou componente não é tratado como autorização. Ele é apenas uma intenção de navegação, posteriormente confrontada com memberships válidas da sessão. Serviços e repositórios recebem contexto resolvido ou já nascem vinculados ao tenant.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Galáxia Burger possui sete aplicativos instalados; Matriz Labs possui quatro.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Pedidos, Estoque, Financeiro e Loja não aparecem nem abrem na Matriz Labs.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Trocar de empresa atualiza o contexto operacional e o conjunto de navegação.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A preferência de aparência continua pertencendo ao usuário, independentemente da empresa ativa.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Repositórios globais de produtos, clientes e pedidos não serão permitidos nos próximos slices.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Captura do estado de acesso indisponível ao tentar abrir Pedidos na Matriz Lab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mei-tenant-access-den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5E6478"/>
          <w:sz w:val="18"/>
        </w:rPr>
        <w:t>Acesso direto a Pedidos na Matriz Labs falha fechado porque o aplicativo não está instalado/autorizado.</w:t>
      </w:r>
    </w:p>
    <w:p>
      <w:pPr>
        <w:pStyle w:val="Heading1"/>
        <w:keepNext/>
      </w:pPr>
      <w:r>
        <w:t>5. Modo demo como ambiente padrão</w:t>
      </w:r>
    </w:p>
    <w:p>
      <w:r>
        <w:rPr>
          <w:rFonts w:ascii="Calibri" w:hAnsi="Calibri"/>
        </w:rPr>
        <w:t>A conta demo foi criada para uso recorrente, testes funcionais e demonstrações sem misturar tenants. Ela entra pela autenticação existente e recebe memberships explícitas, em vez de contornar as regras com flags em componentes.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Item</w:t>
            </w:r>
          </w:p>
        </w:tc>
        <w:tc>
          <w:tcPr>
            <w:tcW w:type="dxa" w:w="706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Definição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Conta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demo@seumei.local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Entrada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Botão Entrar no modo demo na experiência de login aceita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Tenant primário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Galáxia Burger · Proprietário · 7 apps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Tenant secundário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Matriz Labs · Administrador · 4 apps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Preferência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Tema do usuário; não é branding da empresa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Dados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Fixtures coerentes e independentes por tenant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Shell autenticado e navegação</w:t>
      </w:r>
    </w:p>
    <w:p>
      <w:r>
        <w:rPr>
          <w:rFonts w:ascii="Calibri" w:hAnsi="Calibri"/>
        </w:rPr>
        <w:t>O shell agora é uma capacidade compartilhada do produto e não uma implementação duplicada por página. O app registry dirige atalhos e disponibilidade; as aplicações contribuem contexto sem recriar topbars.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Topbar compacta com busca, apps, notificações, aparência e conta.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Sidebar contextual com estado recolhido e expansão explícita/foco.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App switcher persistente para alternar capacidades instaladas.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Interações equivalentes para mouse, teclado, foco e touch.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Transições curtas e remoção de movimento quando prefers-reduced-motion está ativo.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 descr="Captura do workspace da Galáxia Burger com topbar, sidebar compacta e cards de aplicativ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mei-galaxia-shell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5E6478"/>
          <w:sz w:val="18"/>
        </w:rPr>
        <w:t>Shell operacional compartilhado da Galáxia Burger com sete capacidades instaladas.</w:t>
      </w:r>
    </w:p>
    <w:p>
      <w:pPr>
        <w:pStyle w:val="Heading1"/>
        <w:keepNext/>
      </w:pPr>
      <w:r>
        <w:t>7. Rotas entregues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Rota</w:t>
            </w:r>
          </w:p>
        </w:tc>
        <w:tc>
          <w:tcPr>
            <w:tcW w:type="dxa" w:w="33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Função</w:t>
            </w:r>
          </w:p>
        </w:tc>
        <w:tc>
          <w:tcPr>
            <w:tcW w:type="dxa" w:w="326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Proteção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/login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Login existente + acesso demo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Autenticação Matriz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/hub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Empresas e capacidades disponíveis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Usuário autenticado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/c/[companySlug]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Entrada operacional da empresa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Membership válida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/c/[companySlug]/apps/[appId]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Entrada de aplicativo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Membership + app policy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Responsividade validada</w:t>
      </w:r>
    </w:p>
    <w:p>
      <w:r>
        <w:rPr>
          <w:rFonts w:ascii="Calibri" w:hAnsi="Calibri"/>
        </w:rPr>
        <w:t>A responsividade foi tratada como composição própria, não como simples redução do desktop. O Hub muda para coluna única, mantém as ações principais disponíveis e transforma navegação por proximidade em controles explícitos.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Viewport</w:t>
            </w:r>
          </w:p>
        </w:tc>
        <w:tc>
          <w:tcPr>
            <w:tcW w:type="dxa" w:w="726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Resultado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390 × 844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Mobile: cards em coluna, controles touch e nenhum overflow horizontal.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768 × 1024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Tablet: shell adaptativo e ações estáveis.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1180 × 820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Desktop compacto: conteúdo íntegro e navegação acessível.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1440 × 900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Desktop amplo: densidade e proporções próximas às referências.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5048951"/>
            <wp:docPr id="4" name="Picture 4" descr="Captura mobile longa do Seumei Hub com duas empresas e lista de aplicativ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mei-hub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center"/>
      </w:pPr>
      <w:r>
        <w:rPr>
          <w:rFonts w:ascii="Calibri" w:hAnsi="Calibri"/>
          <w:i/>
          <w:color w:val="5E6478"/>
          <w:sz w:val="18"/>
        </w:rPr>
        <w:t>Hub mobile em 390 × 844 com Galáxia Burger e Matriz Labs em composição vertical.</w:t>
      </w:r>
    </w:p>
    <w:p>
      <w:pPr>
        <w:pStyle w:val="Heading1"/>
        <w:keepNext/>
      </w:pPr>
      <w:r>
        <w:t>9. Verificação e evidências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50"/>
        <w:gridCol w:w="5010"/>
      </w:tblGrid>
      <w:tr>
        <w:trPr>
          <w:tblHeader w:val="true"/>
        </w:trPr>
        <w:tc>
          <w:tcPr>
            <w:tcW w:type="dxa" w:w="22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Verificação</w:t>
            </w:r>
          </w:p>
        </w:tc>
        <w:tc>
          <w:tcPr>
            <w:tcW w:type="dxa" w:w="215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Resultado</w:t>
            </w:r>
          </w:p>
        </w:tc>
        <w:tc>
          <w:tcPr>
            <w:tcW w:type="dxa" w:w="501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Escopo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Testes Seumei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  <w:sz w:val="18"/>
              </w:rPr>
              <w:t>20/20 passaram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TenantContext, policies, fixtures, presenter, demo e shell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Typecheck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245"/>
                <w:sz w:val="18"/>
              </w:rPr>
              <w:t>Passou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@matriz/app-seumei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Lint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245"/>
                <w:sz w:val="18"/>
              </w:rPr>
              <w:t>Passou sem warnings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@matriz/app-seumei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Smoke global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  <w:sz w:val="18"/>
              </w:rPr>
              <w:t>148/148 passaram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Contratos, manifests, eventos, auth e boundaries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Browser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7245"/>
                <w:sz w:val="18"/>
              </w:rPr>
              <w:t>Passou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Login demo, troca de empresa, rotas e responsividade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Git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  <w:sz w:val="18"/>
              </w:rPr>
              <w:t>Publicado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main local/remota em 90a377d antes deste relatório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Nota de execução: uma tentativa de smoke no worktree temporário falhou porque junctions de node_modules não reproduzem todos os symlinks absolutos do pnpm. A árvore main foi comparada byte a byte com a árvore do worktree íntegro, onde as 148 verificações passaram. Não houve falha funcional no código publicado.</w:t>
      </w:r>
    </w:p>
    <w:p>
      <w:pPr>
        <w:pStyle w:val="Heading1"/>
        <w:keepNext/>
      </w:pPr>
      <w:r>
        <w:t>10. Débito técnico e limites conhecidos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Os repositórios atuais são fixtures em memória; a persistência real ainda deve adotar consultas obrigatoriamente vinculadas ao tenant.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Products, Store, Orders, Dashboard e CRM ainda exibem entradas de capacidade, não slices operacionais completos.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As permissões atuais cobrem acesso a apps; permissões finas por operação serão introduzidas com os casos de uso reais.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A separação Web/Tauri está definida como contrato, mas os ports de filesystem, notificações e armazenamento seguro ainda não foram implementados.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A fidelidade visual atingiu o Hub e o shell-base; as referências de Produtos, Store, Dashboard e CRM permanecem como metas dos próximos ciclos.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EE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A12828"/>
                <w:sz w:val="21"/>
              </w:rPr>
              <w:t xml:space="preserve">RISCO PRINCIPAL  </w:t>
            </w:r>
            <w:r>
              <w:rPr>
                <w:rFonts w:ascii="Calibri" w:hAnsi="Calibri"/>
                <w:color w:val="121526"/>
                <w:sz w:val="21"/>
              </w:rPr>
              <w:t>Introduzir catálogo ou pedidos por arrays globais quebraria a garantia multi-tenant. O próximo slice deve começar por contratos, testes de isolamento e pricing de domínio antes da tela.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Roadmap de implementação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10"/>
        <w:gridCol w:w="4250"/>
      </w:tblGrid>
      <w:tr>
        <w:trPr>
          <w:tblHeader w:val="true"/>
        </w:trPr>
        <w:tc>
          <w:tcPr>
            <w:tcW w:type="dxa" w:w="16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Slice</w:t>
            </w:r>
          </w:p>
        </w:tc>
        <w:tc>
          <w:tcPr>
            <w:tcW w:type="dxa" w:w="351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Objetivo</w:t>
            </w:r>
          </w:p>
        </w:tc>
        <w:tc>
          <w:tcPr>
            <w:tcW w:type="dxa" w:w="425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Definição de pronto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2 · Catalog / Products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Product, Category, Modifier, disponibilidade e pricing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Admin fiel à referência; dois tenants; edição altera a fonte única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3 · Store / Commerce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Resolver público, Product Detail, Cart e Order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Preço fora do React; produto indisponível some da loja; pedido real criado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4 · Orders / Dashboard / CRM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Consumir o mesmo pedido e cliente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Pedido aparece nas três superfícies sem mocks divergentes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5 · Store Config / Onboarding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Ativação da loja e criação progressiva de empresa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Sequência cria company, membership, apps e dados iniciais isolados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6 · Platform adapters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Ports Web/Tauri e persistência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Nenhum invoke/window.__TAURI__ espalhado em componentes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Próximo vertical slice recomendado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25C5"/>
                <w:sz w:val="21"/>
              </w:rPr>
              <w:t xml:space="preserve">PRÓXIMO PASSO  </w:t>
            </w:r>
            <w:r>
              <w:rPr>
                <w:rFonts w:ascii="Calibri" w:hAnsi="Calibri"/>
                <w:color w:val="121526"/>
                <w:sz w:val="21"/>
              </w:rPr>
              <w:t>Implementar Catalog / Products de ponta a ponta, usando Galáxia Burger como fixture primária e Matriz Labs como tenant negativo de isolamento.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A sequência recomendada mantém arquitetura antes de tela: definir Product, ProductCategory e ProductModifier; escrever testes de leitura e mutação cruzada; criar repositório vinculado ao TenantContext; implementar calculateOrderItemPrice; produzir view models; então reproduzir a referência administrativa de Produtos e ligar disponibilidade ao futuro catálogo publicado.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Teste primeiro: Galáxia Burger não lê nem altera produtos da Matriz Labs.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Fonte única: o mesmo Product alimentará Admin, Store, Order e Dashboard.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Pricing: preço base, modificadores e quantidade calculados no domínio/aplicação.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UI: lista, categorias, busca, preço, estoque, disponibilidade, destaque e ações.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</w:rPr>
        <w:t>Validação: testes, tipagem, lint, smoke global, execução e comparação visual desktop/mobile.</w:t>
      </w:r>
    </w:p>
    <w:p>
      <w:pPr>
        <w:pStyle w:val="Heading1"/>
        <w:keepNext/>
      </w:pPr>
      <w:r>
        <w:t>13. Ponto de retomada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Referência</w:t>
            </w:r>
          </w:p>
        </w:tc>
        <w:tc>
          <w:tcPr>
            <w:tcW w:type="dxa" w:w="6860"/>
            <w:shd w:fill="E8E3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1526"/>
                <w:sz w:val="19"/>
              </w:rPr>
              <w:t>Valor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Branch integrada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main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Commit do merge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90a377d · merge: tenant-safe Seumei Business OS hub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Plano executado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docs/superpowers/plans/2026-08-24-seumei-tenant-hub-foundation.md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Especificação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docs/superpowers/specs/2026-08-24-seumei-tenant-hub-foundation-design.md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Conta demo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demo@seumei.local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Próxima branch sugerida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1526"/>
                <w:sz w:val="18"/>
              </w:rPr>
              <w:t>codex/seumei-catalog-products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Este relatório é o checkpoint operacional: ele registra o que está publicado, quais garantias já existem, o que ainda não foi prometido como concluído e a ordem segura para continuar sem perder o contexto multiempresa.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478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E6478"/>
        <w:sz w:val="17"/>
      </w:rPr>
      <w:t>SEUMEI BUSINESS OS  /  PROGRESSO E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215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5B25C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B25C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B25C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Seumei Business OS — Progresso e Roadmap</dc:title>
  <dc:subject>Fundação multiempresa, shell autenticado e próximos vertical slices</dc:subject>
  <dc:creator>Matriz / Seumei</dc:creator>
  <cp:keywords>Seumei, multitenancy, Business OS, Galáxia Burger, Matriz Labs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