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80" w:after="280"/>
        <w:jc w:val="center"/>
      </w:pPr>
      <w:r>
        <w:rPr>
          <w:rFonts w:ascii="Calibri" w:hAnsi="Calibri"/>
          <w:b/>
          <w:color w:val="8B5CF6"/>
          <w:sz w:val="20"/>
        </w:rPr>
        <w:t>RELATÓRIO DE IMPLEMENTAÇÃO  ·  24 AGO 2026</w:t>
      </w:r>
    </w:p>
    <w:p>
      <w:pPr>
        <w:spacing w:after="160"/>
        <w:jc w:val="center"/>
      </w:pPr>
      <w:r>
        <w:rPr>
          <w:rFonts w:ascii="Calibri" w:hAnsi="Calibri"/>
          <w:b/>
          <w:color w:val="121526"/>
          <w:sz w:val="60"/>
        </w:rPr>
        <w:t>Seumei Business OS</w:t>
      </w:r>
    </w:p>
    <w:p>
      <w:pPr>
        <w:spacing w:after="400"/>
        <w:jc w:val="center"/>
      </w:pPr>
      <w:r>
        <w:rPr>
          <w:rFonts w:ascii="Calibri" w:hAnsi="Calibri"/>
          <w:color w:val="5E6478"/>
          <w:sz w:val="30"/>
        </w:rPr>
        <w:t>Fundação multiempresa, shell inteligente e ponto de retomada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 descr="Captura do Seumei Hub em desktop com duas empresas e aplicativos disponíve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hub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5E6478"/>
          <w:sz w:val="18"/>
        </w:rPr>
        <w:t>Seumei Hub em execução com Galáxia Burger e Matriz Labs isoladas.</w:t>
      </w:r>
    </w:p>
    <w:p>
      <w:pPr>
        <w:spacing w:before="120"/>
        <w:jc w:val="center"/>
      </w:pPr>
      <w:r>
        <w:rPr>
          <w:rFonts w:ascii="Calibri" w:hAnsi="Calibri"/>
          <w:b/>
          <w:color w:val="177245"/>
          <w:sz w:val="21"/>
        </w:rPr>
        <w:t>Status: fundação aprovada, integrada e publicada na main (90a377d)</w:t>
      </w:r>
    </w:p>
    <w:p>
      <w:r>
        <w:br w:type="page"/>
      </w:r>
    </w:p>
    <w:p>
      <w:pPr>
        <w:pStyle w:val="Heading1"/>
        <w:keepNext/>
      </w:pPr>
      <w:r>
        <w:t>1. Resumo executivo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2FB"/>
          </w:tcPr>
          <w:p>
            <w:pPr>
              <w:spacing w:after="0"/>
            </w:pPr>
            <w:r>
              <w:rPr>
                <w:rFonts w:ascii="Calibri" w:hAnsi="Calibri"/>
                <w:b/>
                <w:color w:val="8B5CF6"/>
                <w:sz w:val="21"/>
              </w:rPr>
              <w:t xml:space="preserve">MARCO ATUAL  </w:t>
            </w:r>
            <w:r>
              <w:rPr>
                <w:rFonts w:ascii="Calibri" w:hAnsi="Calibri"/>
                <w:color w:val="121526"/>
                <w:sz w:val="21"/>
              </w:rPr>
              <w:t>A Seumei deixou de depender de uma seleção visual de empresa e passou a resolver operações por usuário autenticado, membership validada e tenant confiável.</w:t>
            </w:r>
          </w:p>
        </w:tc>
      </w:tr>
    </w:tbl>
    <w:p>
      <w:pPr>
        <w:spacing w:after="0"/>
      </w:pPr>
    </w:p>
    <w:p>
      <w:r>
        <w:rPr>
          <w:rFonts w:ascii="Calibri" w:hAnsi="Calibri"/>
        </w:rPr>
        <w:t>Esta entrega consolidou a fundação pós-login da Seumei sem reconstruir o produto do zero. A arquitetura existente que já respeitava o monorepo Matriz foi preservada; os pontos frágeis de estado global e contexto único foram substituídos por domínios locais, contratos explícitos e repositórios vinculados ao tenant.</w:t>
      </w:r>
    </w:p>
    <w:p>
      <w:r>
        <w:rPr>
          <w:rFonts w:ascii="Calibri" w:hAnsi="Calibri"/>
        </w:rPr>
        <w:t>O modo demo agora é a porta de entrada padrão para testes práticos. A conta demo navega pela mesma cadeia de autenticação e autorização da aplicação, participa de Galáxia Burger e Matriz Labs e mantém dados operacionais e aplicativos separados entre as empresas.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Merge local concluído sem conflitos e publicado na branch main.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Conta demo canônica: demo@seumei.local, com acesso de um clique.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Hub, troca de empresa, registro de aplicativos e shell compartilhado implementados.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Preferência pessoal de aparência separada de branding da empresa e apresentação da loja.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20/20 testes Seumei e 148/148 verificações globais aprovados na árvore publicada.</w:t>
      </w:r>
    </w:p>
    <w:p>
      <w:pPr>
        <w:pStyle w:val="Heading1"/>
        <w:keepNext/>
      </w:pPr>
      <w:r>
        <w:t>2. Arquitetura encontrada e decisões de preservação</w:t>
      </w:r>
    </w:p>
    <w:p>
      <w:r>
        <w:rPr>
          <w:rFonts w:ascii="Calibri" w:hAnsi="Calibri"/>
        </w:rPr>
        <w:t>O repositório é um monorepo pnpm/Turborepo orientado a aplicativos. As leis arquiteturais exigem domínio forte dentro do aplicativo, comunicação entre apps apenas por contratos públicos e extração tardia para packages compartilhados. A refatoração respeitou esse modelo: o domínio Seumei permaneceu em apps/seumei e MatrizLib foi consumida como infraestrutura visual compartilhada.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600"/>
        <w:gridCol w:w="5460"/>
      </w:tblGrid>
      <w:tr>
        <w:trPr>
          <w:tblHeader w:val="true"/>
        </w:trPr>
        <w:tc>
          <w:tcPr>
            <w:tcW w:type="dxa" w:w="23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Área descoberta</w:t>
            </w:r>
          </w:p>
        </w:tc>
        <w:tc>
          <w:tcPr>
            <w:tcW w:type="dxa" w:w="16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Decisão</w:t>
            </w:r>
          </w:p>
        </w:tc>
        <w:tc>
          <w:tcPr>
            <w:tcW w:type="dxa" w:w="546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Resultado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Autenticação Matriz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Preservada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O modo demo usa o broker e a sessão existentes.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Login Seumei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Preservado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Somente o acesso demo foi acrescentado; a experiência aceita não foi redesenhada.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Monorepo e manifests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Preservados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Nenhum import interno entre aplicativos foi introduzido.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MatrizLib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Integrada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ThemeToggle e superfícies de autenticação continuam compartilhados.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Estado pós-login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Refatorado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Tenant, membership e apps agora possuem contratos explícitos.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Navegação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Consolidada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Topbar, sidebar e app switcher pertencem ao shell Seumei.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Mapa de domínios</w:t>
      </w:r>
    </w:p>
    <w:p>
      <w:r>
        <w:rPr>
          <w:rFonts w:ascii="Calibri" w:hAnsi="Calibri"/>
        </w:rPr>
        <w:t>O mapa abaixo registra ownership e maturidade. Os limites seguem a realidade atual do aplicativo, sem criar um pacote de domínio universal nem antecipar complexidade de ERP.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3810"/>
        <w:gridCol w:w="3500"/>
      </w:tblGrid>
      <w:tr>
        <w:trPr>
          <w:tblHeader w:val="true"/>
        </w:trPr>
        <w:tc>
          <w:tcPr>
            <w:tcW w:type="dxa" w:w="205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Domínio</w:t>
            </w:r>
          </w:p>
        </w:tc>
        <w:tc>
          <w:tcPr>
            <w:tcW w:type="dxa" w:w="381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Ownership / estado atual</w:t>
            </w:r>
          </w:p>
        </w:tc>
        <w:tc>
          <w:tcPr>
            <w:tcW w:type="dxa" w:w="35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Próximo uso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Identity / Access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Autenticação compartilhada preservada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Sessões reais e recuperação de conta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Companies / Tenant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Company e CompanyBranding implementados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Onboarding e persistência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Membership / Authorization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Membership, TenantContext e policy implementados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Permissões por operação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Application Catalog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AppDefinition tipado implementado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Contribuições de comandos e rotas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Installed Applications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Instalação por company implementada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Ativar/desativar apps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Catalog / Products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Limite definido; slice ainda pendente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Produtos, categorias e modificadores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Customers / CRM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Limite definido; slice ainda pendente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Customer List e Customer 360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Orders / Commerce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Limite definido; slice ainda pendente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Carrinho, checkout e pedido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Store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Separação conceitual definida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Resolver público, catálogo publicado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Inventory / Finance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Apps registrados; domínio pendente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Sinais operacionais mínimos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Marketing / Reporting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Apps registrados; domínio pendente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Leitura de dados compartilhados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Platform / Shell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Shell inteligente implementado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Contribuições contextuais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Preferences / Appearance</w:t>
            </w:r>
          </w:p>
        </w:tc>
        <w:tc>
          <w:tcPr>
            <w:tcW w:type="dxa" w:w="3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Preferência pessoal implementada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Persistência por usuário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Arquitetura de tenant e isolamento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7F0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21"/>
              </w:rPr>
              <w:t xml:space="preserve">CADEIA DE CONFIANÇA  </w:t>
            </w:r>
            <w:r>
              <w:rPr>
                <w:rFonts w:ascii="Calibri" w:hAnsi="Calibri"/>
                <w:color w:val="121526"/>
                <w:sz w:val="21"/>
              </w:rPr>
              <w:t>Usuário autenticado → membership validada → TenantContext resolvido → policy de aplicativo → repositório vinculado ao tenant.</w:t>
            </w:r>
          </w:p>
        </w:tc>
      </w:tr>
    </w:tbl>
    <w:p>
      <w:pPr>
        <w:spacing w:after="0"/>
      </w:pPr>
    </w:p>
    <w:p>
      <w:r>
        <w:rPr>
          <w:rFonts w:ascii="Calibri" w:hAnsi="Calibri"/>
        </w:rPr>
        <w:t>O companyId recebido por uma rota ou componente não é tratado como autorização. Ele é apenas uma intenção de navegação, posteriormente confrontada com memberships válidas da sessão. Serviços e repositórios recebem contexto resolvido ou já nascem vinculados ao tenant.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Galáxia Burger possui sete aplicativos instalados; Matriz Labs possui quatro.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Pedidos, Estoque, Financeiro e Loja não aparecem nem abrem na Matriz Labs.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Trocar de empresa atualiza o contexto operacional e o conjunto de navegação.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A preferência de aparência continua pertencendo ao usuário, independentemente da empresa ativa.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Repositórios globais de produtos, clientes e pedidos não serão permitidos nos próximos slices.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 descr="Captura do estado de acesso indisponível ao tentar abrir Pedidos na Matriz Lab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tenant-access-den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5E6478"/>
          <w:sz w:val="18"/>
        </w:rPr>
        <w:t>Acesso direto a Pedidos na Matriz Labs falha fechado porque o aplicativo não está instalado/autorizado.</w:t>
      </w:r>
    </w:p>
    <w:p>
      <w:pPr>
        <w:pStyle w:val="Heading1"/>
        <w:keepNext/>
      </w:pPr>
      <w:r>
        <w:t>5. Modo demo como ambiente padrão</w:t>
      </w:r>
    </w:p>
    <w:p>
      <w:r>
        <w:rPr>
          <w:rFonts w:ascii="Calibri" w:hAnsi="Calibri"/>
        </w:rPr>
        <w:t>A conta demo foi criada para uso recorrente, testes funcionais e demonstrações sem misturar tenants. Ela entra pela autenticação existente e recebe memberships explícitas, em vez de contornar as regras com flags em componentes.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Item</w:t>
            </w:r>
          </w:p>
        </w:tc>
        <w:tc>
          <w:tcPr>
            <w:tcW w:type="dxa" w:w="706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Definição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Conta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demo@seumei.local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Entrada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Botão Entrar no modo demo na experiência de login aceita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Tenant primário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Galáxia Burger · Proprietário · 7 apps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Tenant secundário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Matriz Labs · Administrador · 4 apps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Preferência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Tema do usuário; não é branding da empresa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Dados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Fixtures coerentes e independentes por tenant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Shell autenticado e navegação</w:t>
      </w:r>
    </w:p>
    <w:p>
      <w:r>
        <w:rPr>
          <w:rFonts w:ascii="Calibri" w:hAnsi="Calibri"/>
        </w:rPr>
        <w:t>O shell agora é uma capacidade compartilhada do produto e não uma implementação duplicada por página. O app registry dirige atalhos e disponibilidade; as aplicações contribuem contexto sem recriar topbars.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Topbar compacta com busca, apps, notificações, aparência e conta.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Sidebar contextual com estado recolhido e expansão explícita/foco.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App switcher persistente para alternar capacidades instaladas.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Interações equivalentes para mouse, teclado, foco e touch.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Transições curtas e remoção de movimento quando prefers-reduced-motion está ativo.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 descr="Captura do workspace da Galáxia Burger com topbar, sidebar compacta e cards de aplicativ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galaxia-shell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5E6478"/>
          <w:sz w:val="18"/>
        </w:rPr>
        <w:t>Shell operacional compartilhado da Galáxia Burger com sete capacidades instaladas.</w:t>
      </w:r>
    </w:p>
    <w:p>
      <w:pPr>
        <w:pStyle w:val="Heading1"/>
        <w:keepNext/>
      </w:pPr>
      <w:r>
        <w:t>7. Rotas entregues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3260"/>
      </w:tblGrid>
      <w:tr>
        <w:trPr>
          <w:tblHeader w:val="true"/>
        </w:trPr>
        <w:tc>
          <w:tcPr>
            <w:tcW w:type="dxa" w:w="28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Rota</w:t>
            </w:r>
          </w:p>
        </w:tc>
        <w:tc>
          <w:tcPr>
            <w:tcW w:type="dxa" w:w="33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Função</w:t>
            </w:r>
          </w:p>
        </w:tc>
        <w:tc>
          <w:tcPr>
            <w:tcW w:type="dxa" w:w="326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Proteção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/login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Login existente + acesso demo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Autenticação Matriz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/hub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Empresas e capacidades disponíveis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Usuário autenticado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/c/[companySlug]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Entrada operacional da empresa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Membership válida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/c/[companySlug]/apps/[appId]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Entrada de aplicativo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Membership + app policy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Responsividade validada</w:t>
      </w:r>
    </w:p>
    <w:p>
      <w:r>
        <w:rPr>
          <w:rFonts w:ascii="Calibri" w:hAnsi="Calibri"/>
        </w:rPr>
        <w:t>A responsividade foi tratada como composição própria, não como simples redução do desktop. O Hub muda para coluna única, mantém as ações principais disponíveis e transforma navegação por proximidade em controles explícitos.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Viewport</w:t>
            </w:r>
          </w:p>
        </w:tc>
        <w:tc>
          <w:tcPr>
            <w:tcW w:type="dxa" w:w="726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Resultado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390 × 844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Mobile: cards em coluna, controles touch e nenhum overflow horizontal.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768 × 1024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Tablet: shell adaptativo e ações estáveis.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1180 × 820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Desktop compacto: conteúdo íntegro e navegação acessível.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1440 × 900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Desktop amplo: densidade e proporções próximas às referências.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5048951"/>
            <wp:docPr id="4" name="Picture 4" descr="Captura mobile longa do Seumei Hub com duas empresas e lista de aplicativ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hub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048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200"/>
        <w:jc w:val="center"/>
      </w:pPr>
      <w:r>
        <w:rPr>
          <w:rFonts w:ascii="Calibri" w:hAnsi="Calibri"/>
          <w:i/>
          <w:color w:val="5E6478"/>
          <w:sz w:val="18"/>
        </w:rPr>
        <w:t>Hub mobile em 390 × 844 com Galáxia Burger e Matriz Labs em composição vertical.</w:t>
      </w:r>
    </w:p>
    <w:p>
      <w:pPr>
        <w:pStyle w:val="Heading1"/>
        <w:keepNext/>
      </w:pPr>
      <w:r>
        <w:t>9. Verificação e evidências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150"/>
        <w:gridCol w:w="5010"/>
      </w:tblGrid>
      <w:tr>
        <w:trPr>
          <w:tblHeader w:val="true"/>
        </w:trPr>
        <w:tc>
          <w:tcPr>
            <w:tcW w:type="dxa" w:w="22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Verificação</w:t>
            </w:r>
          </w:p>
        </w:tc>
        <w:tc>
          <w:tcPr>
            <w:tcW w:type="dxa" w:w="215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Resultado</w:t>
            </w:r>
          </w:p>
        </w:tc>
        <w:tc>
          <w:tcPr>
            <w:tcW w:type="dxa" w:w="501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Escopo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Testes Seumei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20/20 passaram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TenantContext, policies, fixtures, presenter, demo e shell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Typecheck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Passou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@matriz/app-seumei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Lint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Passou sem warnings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@matriz/app-seumei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Smoke global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148/148 passaram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Contratos, manifests, eventos, auth e boundaries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Browser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77245"/>
                <w:sz w:val="18"/>
              </w:rPr>
              <w:t>Passou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Login demo, troca de empresa, rotas e responsividade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Git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9A6700"/>
                <w:sz w:val="18"/>
              </w:rPr>
              <w:t>Publicado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main local/remota em 90a377d antes deste relatório</w:t>
            </w:r>
          </w:p>
        </w:tc>
      </w:tr>
    </w:tbl>
    <w:p>
      <w:pPr>
        <w:spacing w:after="0"/>
      </w:pPr>
    </w:p>
    <w:p>
      <w:r>
        <w:rPr>
          <w:rFonts w:ascii="Calibri" w:hAnsi="Calibri"/>
        </w:rPr>
        <w:t>Nota de execução: uma tentativa de smoke no worktree temporário falhou porque junctions de node_modules não reproduzem todos os symlinks absolutos do pnpm. A árvore main foi comparada byte a byte com a árvore do worktree íntegro, onde as 148 verificações passaram. Não houve falha funcional no código publicado.</w:t>
      </w:r>
    </w:p>
    <w:p>
      <w:pPr>
        <w:pStyle w:val="Heading1"/>
        <w:keepNext/>
      </w:pPr>
      <w:r>
        <w:t>10. Débito técnico e limites conhecidos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Os repositórios atuais são fixtures em memória; a persistência real ainda deve adotar consultas obrigatoriamente vinculadas ao tenant.</w:t>
      </w:r>
    </w:p>
    <w:p>
      <w:pPr>
        <w:pStyle w:val="ListBullet"/>
        <w:spacing w:after="160" w:line="280" w:lineRule="auto"/>
        <w:ind w:left="720" w:hanging="360"/>
      </w:pPr>
      <w:r>
        <w:t>Products e o primeiro fluxo Store/Orders já são slices funcionais. Dashboard e CRM ainda são as próximas capacidades operacionais a consumir os mesmos pedidos, produtos e clientes.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As permissões atuais cobrem acesso a apps; permissões finas por operação serão introduzidas com os casos de uso reais.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A separação Web/Tauri está definida como contrato, mas os ports de filesystem, notificações e armazenamento seguro ainda não foram implementados.</w:t>
      </w:r>
    </w:p>
    <w:p>
      <w:pPr>
        <w:pStyle w:val="ListBullet"/>
        <w:spacing w:after="160" w:line="280" w:lineRule="auto"/>
        <w:ind w:left="720" w:hanging="360"/>
      </w:pPr>
      <w:r>
        <w:t>A fidelidade visual cobre Hub, shell-base, Produtos Admin, Loja Publicada e Detalhe do Produto em desktop/mobile. Dashboard, CRM e configuração operacional da loja permanecem como metas dos próximos ciclos.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CEEE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A12828"/>
                <w:sz w:val="21"/>
              </w:rPr>
              <w:t xml:space="preserve">RISCO PRINCIPAL  </w:t>
            </w:r>
            <w:r>
              <w:rPr>
                <w:rFonts w:ascii="Calibri" w:hAnsi="Calibri"/>
                <w:color w:val="121526"/>
                <w:sz w:val="21"/>
              </w:rPr>
              <w:t>Introduzir catálogo ou pedidos por arrays globais quebraria a garantia multi-tenant. O próximo slice deve começar por contratos, testes de isolamento e pricing de domínio antes da tela.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Roadmap de implementação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510"/>
        <w:gridCol w:w="4250"/>
      </w:tblGrid>
      <w:tr>
        <w:trPr>
          <w:tblHeader w:val="true"/>
        </w:trPr>
        <w:tc>
          <w:tcPr>
            <w:tcW w:type="dxa" w:w="16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Slice</w:t>
            </w:r>
          </w:p>
        </w:tc>
        <w:tc>
          <w:tcPr>
            <w:tcW w:type="dxa" w:w="351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Objetivo</w:t>
            </w:r>
          </w:p>
        </w:tc>
        <w:tc>
          <w:tcPr>
            <w:tcW w:type="dxa" w:w="425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Definição de pronto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2 · Catalog / Products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Product, Category, Modifier, disponibilidade e pricing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Admin fiel à referência; dois tenants; edição altera a fonte única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3 · Store / Commerce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Resolver público, Product Detail, Cart e Order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Preço fora do React; produto indisponível some da loja; pedido real criado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4 · Orders / Dashboard / CRM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Consumir o mesmo pedido e cliente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Pedido aparece nas três superfícies sem mocks divergentes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5 · Store Config / Onboarding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Ativação da loja e criação progressiva de empresa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Sequência cria company, membership, apps e dados iniciais isolados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6 · Platform adapters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Ports Web/Tauri e persistência</w:t>
            </w:r>
          </w:p>
        </w:tc>
        <w:tc>
          <w:tcPr>
            <w:tcW w:type="dxa" w:w="4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Nenhum invoke/window.__TAURI__ espalhado em componentes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12. Próximo vertical slice recomendado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2FB"/>
          </w:tcPr>
          <w:p>
            <w:pPr>
              <w:spacing w:after="0"/>
            </w:pPr>
            <w:r>
              <w:rPr>
                <w:rFonts w:ascii="Calibri" w:hAnsi="Calibri"/>
                <w:b/>
                <w:color w:val="5B25C5"/>
                <w:sz w:val="21"/>
              </w:rPr>
              <w:t xml:space="preserve">PRÓXIMO PASSO  </w:t>
            </w:r>
            <w:r>
              <w:rPr>
                <w:rFonts w:ascii="Calibri" w:hAnsi="Calibri"/>
                <w:color w:val="121526"/>
                <w:sz w:val="21"/>
              </w:rPr>
              <w:t>Implementar Catalog / Products de ponta a ponta, usando Galáxia Burger como fixture primária e Matriz Labs como tenant negativo de isolamento.</w:t>
            </w:r>
          </w:p>
        </w:tc>
      </w:tr>
    </w:tbl>
    <w:p>
      <w:pPr>
        <w:spacing w:after="0"/>
      </w:pPr>
    </w:p>
    <w:p>
      <w:r>
        <w:t>O slice recomendado anteriormente foi concluído: Catalog, Store e Orders agora formam um fluxo coerente, isolado por tenant e persistido pelo port de armazenamento. O próximo slice deve tornar Orders operacional e fazer Dashboard/CRM consumirem os pedidos já criados.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Teste primeiro: Galáxia Burger não lê nem altera produtos da Matriz Labs.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Fonte única: o mesmo Product alimentará Admin, Store, Order e Dashboard.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Pricing: preço base, modificadores e quantidade calculados no domínio/aplicação.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UI: lista, categorias, busca, preço, estoque, disponibilidade, destaque e ações.</w:t>
      </w:r>
    </w:p>
    <w:p>
      <w:pPr>
        <w:pStyle w:val="ListBullet"/>
        <w:spacing w:after="160" w:line="280" w:lineRule="auto"/>
        <w:ind w:left="720" w:hanging="360"/>
      </w:pPr>
      <w:r>
        <w:rPr>
          <w:rFonts w:ascii="Calibri" w:hAnsi="Calibri"/>
        </w:rPr>
        <w:t>Validação: testes, tipagem, lint, smoke global, execução e comparação visual desktop/mobile.</w:t>
      </w:r>
    </w:p>
    <w:p>
      <w:pPr>
        <w:pStyle w:val="Heading1"/>
        <w:keepNext/>
      </w:pPr>
      <w:r>
        <w:t>13. Ponto de retomada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Referência</w:t>
            </w:r>
          </w:p>
        </w:tc>
        <w:tc>
          <w:tcPr>
            <w:tcW w:type="dxa" w:w="6860"/>
            <w:shd w:fill="E8E3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1526"/>
                <w:sz w:val="19"/>
              </w:rPr>
              <w:t>Valor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Branch integrada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main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Commit do merge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90a377d · merge: tenant-safe Seumei Business OS hub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Plano executado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docs/superpowers/plans/2026-08-24-seumei-tenant-hub-foundation.md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Especificação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docs/superpowers/specs/2026-08-24-seumei-tenant-hub-foundation-design.md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Conta demo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demo@seumei.local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Próxima branch sugerida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1526"/>
                <w:sz w:val="18"/>
              </w:rPr>
              <w:t>codex/seumei-catalog-products</w:t>
            </w:r>
          </w:p>
        </w:tc>
      </w:tr>
    </w:tbl>
    <w:p>
      <w:pPr>
        <w:spacing w:after="0"/>
      </w:pPr>
    </w:p>
    <w:p>
      <w:r>
        <w:rPr>
          <w:rFonts w:ascii="Calibri" w:hAnsi="Calibri"/>
        </w:rPr>
        <w:t>Este relatório é o checkpoint operacional: ele registra o que está publicado, quais garantias já existem, o que ainda não foi prometido como concluído e a ordem segura para continuar sem perder o contexto multiempresa.</w:t>
      </w:r>
    </w:p>
    <w:p>
      <w:r>
        <w:br w:type="page"/>
      </w:r>
    </w:p>
    <w:p>
      <w:pPr>
        <w:pStyle w:val="Heading1"/>
      </w:pPr>
      <w:r>
        <w:t>14. Avanço publicado: Store e Commerce</w:t>
      </w:r>
    </w:p>
    <w:p>
      <w:r>
        <w:t>O ciclo adicionou a primeira jornada pública de comércio sem criar uma segunda fonte de catálogo. A URL pública resolve o slug publicado, encontra a empresa proprietária, vincula o catálogo ao tenant e só então permite leitura, precificação, carrinho e criação de pedido.</w:t>
      </w:r>
    </w:p>
    <w:p>
      <w:pPr>
        <w:pStyle w:val="ListBullet"/>
      </w:pPr>
      <w:r>
        <w:t>Loja pública em /loja/[storeSlug], sem depender de companyId arbitrário recebido da interface.</w:t>
      </w:r>
    </w:p>
    <w:p>
      <w:pPr>
        <w:pStyle w:val="ListBullet"/>
      </w:pPr>
      <w:r>
        <w:t>Detalhe de produto com complementos, quantidade, observação e preço calculado na camada de aplicação/domínio.</w:t>
      </w:r>
    </w:p>
    <w:p>
      <w:pPr>
        <w:pStyle w:val="ListBullet"/>
      </w:pPr>
      <w:r>
        <w:t>Carrinho persistido por port de armazenamento e checkout que cria Order e OrderItem reais.</w:t>
      </w:r>
    </w:p>
    <w:p>
      <w:pPr>
        <w:pStyle w:val="ListBullet"/>
      </w:pPr>
      <w:r>
        <w:t>Galáxia Burger publicada e Matriz Labs em rascunho, comprovando resolução pública e separação entre tenants.</w:t>
      </w:r>
    </w:p>
    <w:p>
      <w:pPr>
        <w:pStyle w:val="ListBullet"/>
      </w:pPr>
      <w:r>
        <w:t>Catálogo administrativo e loja pública compartilham a mesma persistência: desativar um produto o remove da publicação.</w:t>
      </w:r>
    </w:p>
    <w:p>
      <w:pPr>
        <w:pStyle w:val="ListBullet"/>
      </w:pPr>
      <w:r>
        <w:t>Imagens específicas por produto e complemento, configuradas em fixtures, sem incorporar Galáxia Burger à arquitetura da plataforma.</w:t>
      </w:r>
    </w:p>
    <w:p>
      <w:pPr>
        <w:pStyle w:val="Heading1"/>
      </w:pPr>
      <w:r>
        <w:t>15. Garantias verificadas neste ciclo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5976"/>
      </w:tblGrid>
      <w:tr>
        <w:tc>
          <w:tcPr>
            <w:tcW w:type="dxa" w:w="4680"/>
          </w:tcPr>
          <w:p>
            <w:r>
              <w:t>Garantia</w:t>
            </w:r>
          </w:p>
        </w:tc>
        <w:tc>
          <w:tcPr>
            <w:tcW w:type="dxa" w:w="4680"/>
          </w:tcPr>
          <w:p>
            <w:r>
              <w:t>Evidência</w:t>
            </w:r>
          </w:p>
        </w:tc>
      </w:tr>
      <w:tr>
        <w:tc>
          <w:tcPr>
            <w:tcW w:type="dxa" w:w="2952"/>
          </w:tcPr>
          <w:p>
            <w:r>
              <w:t>Testes</w:t>
            </w:r>
          </w:p>
        </w:tc>
        <w:tc>
          <w:tcPr>
            <w:tcW w:type="dxa" w:w="5976"/>
          </w:tcPr>
          <w:p>
            <w:r>
              <w:t>55/55 testes do app Seumei aprovados em 20 arquivos.</w:t>
            </w:r>
          </w:p>
        </w:tc>
      </w:tr>
      <w:tr>
        <w:tc>
          <w:tcPr>
            <w:tcW w:type="dxa" w:w="2952"/>
          </w:tcPr>
          <w:p>
            <w:r>
              <w:t>Tenant isolation</w:t>
            </w:r>
          </w:p>
        </w:tc>
        <w:tc>
          <w:tcPr>
            <w:tcW w:type="dxa" w:w="5976"/>
          </w:tcPr>
          <w:p>
            <w:r>
              <w:t>Store, Catalog e Orders rejeitam leitura e mutação cruzadas; loja em rascunho não resolve publicamente.</w:t>
            </w:r>
          </w:p>
        </w:tc>
      </w:tr>
      <w:tr>
        <w:tc>
          <w:tcPr>
            <w:tcW w:type="dxa" w:w="2952"/>
          </w:tcPr>
          <w:p>
            <w:r>
              <w:t>Qualidade estática</w:t>
            </w:r>
          </w:p>
        </w:tc>
        <w:tc>
          <w:tcPr>
            <w:tcW w:type="dxa" w:w="5976"/>
          </w:tcPr>
          <w:p>
            <w:r>
              <w:t>Typecheck e lint sem erros.</w:t>
            </w:r>
          </w:p>
        </w:tc>
      </w:tr>
      <w:tr>
        <w:tc>
          <w:tcPr>
            <w:tcW w:type="dxa" w:w="2952"/>
          </w:tcPr>
          <w:p>
            <w:r>
              <w:t>Produção</w:t>
            </w:r>
          </w:p>
        </w:tc>
        <w:tc>
          <w:tcPr>
            <w:tcW w:type="dxa" w:w="5976"/>
          </w:tcPr>
          <w:p>
            <w:r>
              <w:t>Build Next.js aprovado com as rotas públicas dinâmicas.</w:t>
            </w:r>
          </w:p>
        </w:tc>
      </w:tr>
      <w:tr>
        <w:tc>
          <w:tcPr>
            <w:tcW w:type="dxa" w:w="2952"/>
          </w:tcPr>
          <w:p>
            <w:r>
              <w:t>Fluxo no navegador</w:t>
            </w:r>
          </w:p>
        </w:tc>
        <w:tc>
          <w:tcPr>
            <w:tcW w:type="dxa" w:w="5976"/>
          </w:tcPr>
          <w:p>
            <w:r>
              <w:t>Produto → complemento → quantidade → carrinho → pedido concluído com total de R$ 99,50.</w:t>
            </w:r>
          </w:p>
        </w:tc>
      </w:tr>
      <w:tr>
        <w:tc>
          <w:tcPr>
            <w:tcW w:type="dxa" w:w="2952"/>
          </w:tcPr>
          <w:p>
            <w:r>
              <w:t>Responsividade</w:t>
            </w:r>
          </w:p>
        </w:tc>
        <w:tc>
          <w:tcPr>
            <w:tcW w:type="dxa" w:w="5976"/>
          </w:tcPr>
          <w:p>
            <w:r>
              <w:t>Loja e detalhe validados em 1586 × 992 e 430 × 932.</w:t>
            </w:r>
          </w:p>
        </w:tc>
      </w:tr>
    </w:tbl>
    <w:p>
      <w:r>
        <w:br w:type="page"/>
      </w:r>
    </w:p>
    <w:p>
      <w:pPr>
        <w:pStyle w:val="Heading1"/>
      </w:pPr>
      <w:r>
        <w:t>16. Evidências visuais do produto</w:t>
      </w:r>
    </w:p>
    <w:p>
      <w:r>
        <w:t>Loja publicada — composição desktop inspirada diretamente nas referências aprovadas.</w:t>
      </w:r>
    </w:p>
    <w:p>
      <w:r>
        <w:drawing>
          <wp:inline xmlns:a="http://schemas.openxmlformats.org/drawingml/2006/main" xmlns:pic="http://schemas.openxmlformats.org/drawingml/2006/picture">
            <wp:extent cx="5897880" cy="36889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store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Loja pública Galáxia Burger, desktop.</w:t>
      </w:r>
    </w:p>
    <w:p>
      <w:r>
        <w:br w:type="page"/>
      </w:r>
    </w:p>
    <w:p>
      <w:r>
        <w:t>Loja publicada — navegação e catálogo mobile com controles de toque e barra inferior.</w:t>
      </w:r>
    </w:p>
    <w:p>
      <w:r>
        <w:drawing>
          <wp:inline xmlns:a="http://schemas.openxmlformats.org/drawingml/2006/main" xmlns:pic="http://schemas.openxmlformats.org/drawingml/2006/picture">
            <wp:extent cx="3063240" cy="66393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store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663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Loja pública Galáxia Burger, mobile.</w:t>
      </w:r>
    </w:p>
    <w:p>
      <w:r>
        <w:br w:type="page"/>
      </w:r>
    </w:p>
    <w:p>
      <w:r>
        <w:t>Detalhe do produto — modificadores, quantidade, observação e total derivados do domínio.</w:t>
      </w:r>
    </w:p>
    <w:p>
      <w:r>
        <w:drawing>
          <wp:inline xmlns:a="http://schemas.openxmlformats.org/drawingml/2006/main" xmlns:pic="http://schemas.openxmlformats.org/drawingml/2006/picture">
            <wp:extent cx="3063240" cy="114479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product-detail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1447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X-Galáxia, detalhe mobile completo.</w:t>
      </w:r>
    </w:p>
    <w:p>
      <w:r>
        <w:br w:type="page"/>
      </w:r>
    </w:p>
    <w:p>
      <w:r>
        <w:t>Carrinho e checkout — fechamento do primeiro vertical slice de commerce.</w:t>
      </w:r>
    </w:p>
    <w:p>
      <w:r>
        <w:drawing>
          <wp:inline xmlns:a="http://schemas.openxmlformats.org/drawingml/2006/main" xmlns:pic="http://schemas.openxmlformats.org/drawingml/2006/picture">
            <wp:extent cx="3063240" cy="66393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umei-cart-mob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663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— Carrinho mobile com preço e checkout tenant-safe.</w:t>
      </w:r>
    </w:p>
    <w:p>
      <w:pPr>
        <w:pStyle w:val="Heading1"/>
      </w:pPr>
      <w:r>
        <w:t>17. Onde iremos a seguir</w:t>
      </w:r>
    </w:p>
    <w:p>
      <w:r>
        <w:t>O próximo ciclo recomendado é Orders operacional → Dashboard → histórico do cliente no CRM. Ele fecha o circuito criado agora: um pedido público passa a aparecer na operação da empresa e na visão do cliente, sem mocks divergentes.</w:t>
      </w:r>
    </w:p>
    <w:p>
      <w:pPr>
        <w:pStyle w:val="ListBullet"/>
      </w:pPr>
      <w:r>
        <w:t>Criar lista e detalhe de Orders ligados ao repositório tenant-bound existente.</w:t>
      </w:r>
    </w:p>
    <w:p>
      <w:pPr>
        <w:pStyle w:val="ListBullet"/>
      </w:pPr>
      <w:r>
        <w:t>Derivar métricas do Dashboard a partir dos mesmos pedidos, produtos e clientes.</w:t>
      </w:r>
    </w:p>
    <w:p>
      <w:pPr>
        <w:pStyle w:val="ListBullet"/>
      </w:pPr>
      <w:r>
        <w:t>Expor compras recentes e histórico do cliente no CRM a partir de Order/OrderItem.</w:t>
      </w:r>
    </w:p>
    <w:p>
      <w:pPr>
        <w:pStyle w:val="ListBullet"/>
      </w:pPr>
      <w:r>
        <w:t>Adicionar ativação/configuração operacional da Store mantendo StoreAppearance separada de CompanyBranding e UserAppearancePreferences.</w:t>
      </w:r>
    </w:p>
    <w:p>
      <w:pPr>
        <w:pStyle w:val="ListBullet"/>
      </w:pPr>
      <w:r>
        <w:t>Consolidar ports Web/Tauri para notificações, secure storage e janela sem chamadas diretas em componentes React.</w:t>
      </w:r>
    </w:p>
    <w:p>
      <w:pPr>
        <w:pStyle w:val="Heading1"/>
      </w:pPr>
      <w:r>
        <w:t>18. Novo ponto de retomada</w:t>
      </w:r>
    </w:p>
    <w:p>
      <w:r>
        <w:t>Main contém agora Hub multiempresa, shell compartilhado, Products Admin, catálogo persistido, Store pública, detalhe de produto, carrinho e criação de pedido. Retomar pelo app Orders, preservando os contratos e testes já introduzidos; não criar novos arrays de pedidos em páginas ou fixtures desconectadas.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E6478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E6478"/>
        <w:sz w:val="17"/>
      </w:rPr>
      <w:t>SEUMEI BUSINESS OS  /  PROGRESSO E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215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5B25C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5B25C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5B25C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Seumei Business OS — Progresso e Roadmap</dc:title>
  <dc:subject>Fundação multiempresa, shell autenticado e próximos vertical slices</dc:subject>
  <dc:creator>Matriz / Seumei</dc:creator>
  <cp:keywords>Seumei, multitenancy, Business OS, Galáxia Burger, Matriz Labs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