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E74B5"/>
          <w:sz w:val="20"/>
        </w:rPr>
        <w:t>STATUS DE ASSIMILAÇÃO</w:t>
      </w:r>
    </w:p>
    <w:p>
      <w:pPr>
        <w:spacing w:after="100"/>
      </w:pPr>
      <w:r>
        <w:rPr>
          <w:rFonts w:ascii="Calibri" w:hAnsi="Calibri"/>
          <w:b/>
          <w:i w:val="0"/>
          <w:color w:val="1F4D78"/>
          <w:sz w:val="48"/>
        </w:rPr>
        <w:t>Seumei — encerramento e continuidade</w:t>
      </w:r>
    </w:p>
    <w:p>
      <w:pPr>
        <w:spacing w:after="240"/>
      </w:pPr>
      <w:r>
        <w:rPr>
          <w:rFonts w:ascii="Calibri" w:hAnsi="Calibri"/>
          <w:b w:val="0"/>
          <w:i w:val="0"/>
          <w:color w:val="59626C"/>
          <w:sz w:val="25"/>
        </w:rPr>
        <w:t>Evidência consolidada dos ciclos concluídos e do próximo ciclo ainda aberto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Branch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codex/seumei-assimilation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Código verificado até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64634ac — catálogo e route flows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Design mais recente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ad98c44 — estoque e movimentos atômicos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Estado geral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PARCIALMENTE CONCLUÍDO — estoque ainda não implementado</w:t>
            </w:r>
          </w:p>
        </w:tc>
      </w:tr>
    </w:tbl>
    <w:p>
      <w:pPr>
        <w:pStyle w:val="Heading1"/>
      </w:pPr>
      <w:r>
        <w:t>Resposta objetiva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Não, todos os ciclos ainda não se encerraram. </w:t>
            </w:r>
            <w:r>
              <w:rPr>
                <w:rFonts w:ascii="Calibri" w:hAnsi="Calibri"/>
                <w:b w:val="0"/>
                <w:i w:val="0"/>
                <w:color w:val="7A5A00"/>
                <w:sz w:val="22"/>
              </w:rPr>
              <w:t>A fundação, memberships/permissões, catálogo e route flows chegaram ao estado final verificado. Estoque e movimentos chegaram somente ao desenho arquitetural commitado; faltam implementação TDD, migração, browser real e gates consecutivos.</w:t>
            </w:r>
          </w:p>
        </w:tc>
      </w:tr>
    </w:tbl>
    <w:p>
      <w:pPr>
        <w:spacing w:after="0"/>
      </w:pPr>
    </w:p>
    <w:p>
      <w:pPr>
        <w:pStyle w:val="Heading1"/>
      </w:pPr>
      <w:r>
        <w:t>Concluído até o estado final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Identidade pública preservada: package @matriz/app-seumei, appId seumei e porta web 3008.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Criação e seleção de empresa reais, tenant e membership OWNER persistidos, onboarding retomável e workspace autorizado.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Memberships e permissões com convites app-scoped, token hasheado, aceitação vinculada ao e-mail e proteção do OWNER.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Catálogo tenant-scoped com categorias, produtos simples/configuráveis, variantes relacionais, preços em centavos e versão otimista.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Laboratório temporário /docs com route flows canônicos e desenho/exportação de rotas sem autoridade empresarial.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Isolamento negativo com IDs conhecidos entre tenants e autoridade resolvida no servidor; o navegador não concede tenantId.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Persistência real em PostgreSQL descartável validada após refresh e nova sessão; nenhum fallback para mocks empresariais.</w:t>
      </w:r>
    </w:p>
    <w:p>
      <w:pPr>
        <w:pStyle w:val="Heading1"/>
      </w:pPr>
      <w:r>
        <w:t>Evidência da última fatia encerrada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Verificação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Resultado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Seumei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35 arquivos de teste; 169 testes; lint, typecheck e build aprovados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Monorepo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23 arquivos smoke; 154 testes; lint global 37 tarefas, typecheck 37 e build 10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Prisma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Seis schemas validados; migration aditiva do catálogo aplicada em PostgreSQL descartável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Navegador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Login, empresa, onboarding, /docs, catálogo vazio e produto configurável; desktop e 390 × 844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sz w:val="22"/>
              </w:rPr>
              <w:t>Persistência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Categoria e produto com duas variantes sobreviveram a refresh e nova sessão</w:t>
            </w:r>
          </w:p>
        </w:tc>
      </w:tr>
    </w:tbl>
    <w:p>
      <w:pPr>
        <w:pStyle w:val="Heading1"/>
      </w:pPr>
      <w:r>
        <w:t>Ciclo ainda aberto: estoque e movimentos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Estado atual: </w:t>
            </w: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design aprovado e commitado, sem alegação de funcionalidade pronta.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Criar InventoryItem por variante e StockMovement append-only no schema Seumei, com migration aditiva.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Implementar saldo concorrência-seguro, idempotência, saída insuficiente e reconciliação sem delta zero.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Adicionar repository, serviços, handlers, presenters, /workspace/stock e detalhe por variante.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Provar OWNER/ADMIN mutando, MEMBER/VIEWER somente lendo e tenant A incapaz de acessar tenant B.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Validar desktop/mobile, teclado/foco, refresh, nova sessão, conflito, console e overflow em navegador real.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Executar gates scoped, smoke, Prisma, globais e duas passagens consecutivas no estado commitado.</w:t>
      </w:r>
    </w:p>
    <w:p>
      <w:pPr>
        <w:pStyle w:val="Heading1"/>
      </w:pPr>
      <w:r>
        <w:t>Commits de continuidade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cfb579d — registra memberships e permissões verificadas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64634ac — registra catálogo e route flows verificados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ad98c44 — documenta o desenho atômico de estoque</w:t>
      </w:r>
    </w:p>
    <w:p>
      <w:pPr>
        <w:pStyle w:val="Heading1"/>
      </w:pPr>
      <w:r>
        <w:t>Limitações reais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9B1C1C"/>
          <w:sz w:val="22"/>
        </w:rPr>
        <w:t>A missão completa não pode ser declarada encerrada enquanto estoque não atravessar todos os gates definidos.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Envio real de e-mail para convites não foi integrado; o link seguro é gerado e copiado manualmente.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A rota /docs é um ambiente temporário e deverá ser removida antes do lançamento.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sz w:val="22"/>
        </w:rPr>
        <w:t>Loja/publicação, pedidos, clientes e financeiro permanecem deliberadamente adiados, sem páginas vazias.</w:t>
      </w:r>
    </w:p>
    <w:p>
      <w:pPr>
        <w:pStyle w:val="Heading1"/>
      </w:pPr>
      <w:r>
        <w:t>Próxima ação autorizada</w:t>
      </w:r>
    </w:p>
    <w:p>
      <w:pPr>
        <w:spacing w:after="0"/>
      </w:pPr>
      <w:r>
        <w:rPr>
          <w:rFonts w:ascii="Calibri" w:hAnsi="Calibri"/>
          <w:b/>
          <w:i w:val="0"/>
          <w:color w:val="1F4D78"/>
          <w:sz w:val="22"/>
        </w:rPr>
        <w:t xml:space="preserve">Executar o plano TDD de estoque até o ciclo final: </w:t>
      </w:r>
      <w:r>
        <w:rPr>
          <w:rFonts w:ascii="Calibri" w:hAnsi="Calibri"/>
          <w:b w:val="0"/>
          <w:i w:val="0"/>
          <w:sz w:val="22"/>
        </w:rPr>
        <w:t>schema → domínio → persistência → APIs → UI → isolamento → browser → gates → commits → relatório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26C"/>
        <w:sz w:val="17"/>
      </w:rPr>
      <w:t>Matriz-Hub  •  22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26C"/>
        <w:sz w:val="17"/>
      </w:rPr>
      <w:t>SEUMEI  |  RELATÓRIO DE CONTINUIDADE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