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after="100"/>
      </w:pPr>
      <w:r>
        <w:rPr>
          <w:rFonts w:ascii="Calibri" w:hAnsi="Calibri"/>
          <w:b/>
          <w:color w:val="1399B4"/>
          <w:sz w:val="18"/>
        </w:rPr>
        <w:t>RELATÓRIO FINAL DE ACEITAÇÃO</w:t>
      </w:r>
    </w:p>
    <w:p>
      <w:pPr>
        <w:pStyle w:val="Title"/>
      </w:pPr>
      <w:r>
        <w:t>Seumei assimilada ao Matriz-Hub</w:t>
      </w:r>
    </w:p>
    <w:p>
      <w:pPr>
        <w:pStyle w:val="Subtitle"/>
      </w:pPr>
      <w:r>
        <w:t>Fundação multi-tenant, comércio de restaurantes e publicação — 24 de agosto de 2026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AF4F8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399B4"/>
                <w:sz w:val="22"/>
              </w:rPr>
              <w:t>Resultado</w:t>
            </w:r>
          </w:p>
          <w:p>
            <w:pPr>
              <w:spacing w:after="0"/>
            </w:pPr>
            <w:r>
              <w:t>Todos os ciclos autorizados foram encerrados: empresa e onboarding, membros, catálogo, estoque, loja, pedidos, clientes, financeiro, identidade/publicação e gate de integrações. A referência externa não participa do runtime.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13263F"/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321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color w:val="D7E2EC"/>
                <w:sz w:val="17"/>
              </w:rPr>
              <w:t>testes Seumei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13263F"/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54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color w:val="D7E2EC"/>
                <w:sz w:val="17"/>
              </w:rPr>
              <w:t>rotas no build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13263F"/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158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color w:val="D7E2EC"/>
                <w:sz w:val="17"/>
              </w:rPr>
              <w:t>smoke tests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13263F"/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6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color w:val="D7E2EC"/>
                <w:sz w:val="17"/>
              </w:rPr>
              <w:t>schemas Prisma</w:t>
            </w:r>
          </w:p>
        </w:tc>
      </w:tr>
    </w:tbl>
    <w:p>
      <w:pPr>
        <w:spacing w:after="0"/>
      </w:pPr>
    </w:p>
    <w:p>
      <w:pPr>
        <w:pStyle w:val="Heading2"/>
      </w:pPr>
      <w:r>
        <w:t>Identidade preservada</w:t>
      </w:r>
    </w:p>
    <w:p>
      <w:r>
        <w:t>@matriz/app-seumei · appId seumei · porta canônica 3008 · web-first</w:t>
      </w:r>
    </w:p>
    <w:p>
      <w:pPr>
        <w:pStyle w:val="Heading2"/>
      </w:pPr>
      <w:r>
        <w:t>Decisão de arquitetura</w:t>
      </w:r>
    </w:p>
    <w:p>
      <w:r>
        <w:t>A Seumei pertence ao Matriz-Hub e mantém seu domínio app-local. Core continua dono de usuário, tenant e membership; a Seumei é dona da empresa e do domínio operacional.</w:t>
      </w:r>
    </w:p>
    <w:p>
      <w:r>
        <w:br w:type="page"/>
      </w:r>
    </w:p>
    <w:p>
      <w:pPr>
        <w:spacing w:after="100"/>
      </w:pPr>
      <w:r>
        <w:rPr>
          <w:rFonts w:ascii="Calibri" w:hAnsi="Calibri"/>
          <w:b/>
          <w:color w:val="1399B4"/>
          <w:sz w:val="18"/>
        </w:rPr>
        <w:t>01 / VISÃO EXECUTIVA</w:t>
      </w:r>
    </w:p>
    <w:p>
      <w:pPr>
        <w:pStyle w:val="Title"/>
      </w:pPr>
      <w:r>
        <w:t>Uma fatia vertical real, não uma coleção de telas</w:t>
      </w:r>
    </w:p>
    <w:p>
      <w:pPr>
        <w:pStyle w:val="Heading1"/>
      </w:pPr>
      <w:r>
        <w:t>Route flow principal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4E8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DF6B30"/>
                <w:sz w:val="22"/>
              </w:rPr>
              <w:t>Fluxo</w:t>
            </w:r>
          </w:p>
          <w:p>
            <w:pPr>
              <w:spacing w:after="0"/>
            </w:pPr>
            <w:r>
              <w:t>/login → MyHub → criar/selecionar empresa → /onboarding → /workspace → catálogo/estoque → loja → checkout → pedidos/clientes/financeiro → publicação</w:t>
            </w:r>
          </w:p>
        </w:tc>
      </w:tr>
    </w:tbl>
    <w:p>
      <w:pPr>
        <w:pStyle w:val="Heading1"/>
      </w:pPr>
      <w:r>
        <w:t>Ciclos encerrados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5660"/>
        <w:gridCol w:w="180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13263F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Ciclo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shd w:fill="13263F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Capacidade assimilada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13263F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4263F"/>
                <w:sz w:val="18"/>
              </w:rPr>
              <w:t>Fundação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empresa, membership, onboarding, workspace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7C5C"/>
                <w:sz w:val="18"/>
              </w:rPr>
              <w:t>Concluído</w:t>
            </w:r>
          </w:p>
        </w:tc>
      </w:tr>
      <w:t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4263F"/>
                <w:sz w:val="18"/>
              </w:rPr>
              <w:t>Catálogo</w:t>
            </w:r>
          </w:p>
        </w:tc>
        <w:tc>
          <w:tcPr>
            <w:tcW w:type="dxa" w:w="56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categorias, produtos, variantes e imagens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7C5C"/>
                <w:sz w:val="18"/>
              </w:rPr>
              <w:t>Concluído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4263F"/>
                <w:sz w:val="18"/>
              </w:rPr>
              <w:t>Operação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receitas, ingredientes, estoque e movimentos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7C5C"/>
                <w:sz w:val="18"/>
              </w:rPr>
              <w:t>Concluído</w:t>
            </w:r>
          </w:p>
        </w:tc>
      </w:tr>
      <w:t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4263F"/>
                <w:sz w:val="18"/>
              </w:rPr>
              <w:t>Comércio</w:t>
            </w:r>
          </w:p>
        </w:tc>
        <w:tc>
          <w:tcPr>
            <w:tcW w:type="dxa" w:w="56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loja, checkout, pedidos e clientes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7C5C"/>
                <w:sz w:val="18"/>
              </w:rPr>
              <w:t>Concluído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4263F"/>
                <w:sz w:val="18"/>
              </w:rPr>
              <w:t>Financeiro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recebimentos e lançamentos auditáveis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7C5C"/>
                <w:sz w:val="18"/>
              </w:rPr>
              <w:t>Concluído</w:t>
            </w:r>
          </w:p>
        </w:tc>
      </w:tr>
      <w:t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4263F"/>
                <w:sz w:val="18"/>
              </w:rPr>
              <w:t>Publicação</w:t>
            </w:r>
          </w:p>
        </w:tc>
        <w:tc>
          <w:tcPr>
            <w:tcW w:type="dxa" w:w="56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identidade, preview, snapshot e despublicação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7C5C"/>
                <w:sz w:val="18"/>
              </w:rPr>
              <w:t>Concluído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4263F"/>
                <w:sz w:val="18"/>
              </w:rPr>
              <w:t>Integrações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gate, ownership e pré-condições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B7C5C"/>
                <w:sz w:val="18"/>
              </w:rPr>
              <w:t>Gate concluído</w:t>
            </w:r>
          </w:p>
        </w:tc>
      </w:tr>
    </w:tbl>
    <w:p>
      <w:pPr>
        <w:pStyle w:val="Heading2"/>
      </w:pPr>
      <w:r>
        <w:t>Conhecimento preservado</w:t>
      </w:r>
    </w:p>
    <w:p>
      <w:r>
        <w:t>Regras úteis de catálogo, receitas, checkout, pedidos e identidade foram reconstruídas. Storage no browser, page builder livre, integrações fictícias e acoplamentos incompatíveis foram descartados.</w:t>
      </w:r>
    </w:p>
    <w:p>
      <w:r>
        <w:br w:type="page"/>
      </w:r>
    </w:p>
    <w:p>
      <w:pPr>
        <w:spacing w:after="100"/>
      </w:pPr>
      <w:r>
        <w:rPr>
          <w:rFonts w:ascii="Calibri" w:hAnsi="Calibri"/>
          <w:b/>
          <w:color w:val="1399B4"/>
          <w:sz w:val="18"/>
        </w:rPr>
        <w:t>02 / DEMOS PERSISTENTES</w:t>
      </w:r>
    </w:p>
    <w:p>
      <w:pPr>
        <w:pStyle w:val="Title"/>
      </w:pPr>
      <w:r>
        <w:t>Duas empresas, duas identidades, um portfólio autorizado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937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yhub-feder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3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5C6774"/>
          <w:sz w:val="17"/>
        </w:rPr>
        <w:t>MyHub: portfólio e BI agregados somente para empresas autorizadas.</w:t>
      </w:r>
    </w:p>
    <w:p>
      <w:pPr>
        <w:pStyle w:val="Heading2"/>
      </w:pPr>
      <w:r>
        <w:t>Galaxia Burger</w:t>
      </w:r>
    </w:p>
    <w:p>
      <w:r>
        <w:t>4 produtos, 9 ingredientes, 4 receitas, estoque, pedidos, clientes, financeiro e direção visual COSMIC_DINER.</w:t>
      </w:r>
    </w:p>
    <w:p>
      <w:pPr>
        <w:pStyle w:val="Heading2"/>
      </w:pPr>
      <w:r>
        <w:t>Sabor &amp; Brasa</w:t>
      </w:r>
    </w:p>
    <w:p>
      <w:r>
        <w:t>2 produtos, 4 ingredientes, 2 receitas, estoque e direção BRAZILIAN_WARMTH, sem mistura de dados ou aparência com Galaxia.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AF4F8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399B4"/>
                <w:sz w:val="22"/>
              </w:rPr>
              <w:t>Idempotência provada</w:t>
            </w:r>
          </w:p>
          <w:p>
            <w:pPr>
              <w:spacing w:after="0"/>
            </w:pPr>
            <w:r>
              <w:t>O provisionamento executado duas vezes não duplicou empresas, memberships, pedidos determinísticos nem lançamentos derivados.</w:t>
            </w:r>
          </w:p>
        </w:tc>
      </w:tr>
    </w:tbl>
    <w:p>
      <w:r>
        <w:br w:type="page"/>
      </w:r>
    </w:p>
    <w:p>
      <w:pPr>
        <w:spacing w:after="100"/>
      </w:pPr>
      <w:r>
        <w:rPr>
          <w:rFonts w:ascii="Calibri" w:hAnsi="Calibri"/>
          <w:b/>
          <w:color w:val="1399B4"/>
          <w:sz w:val="18"/>
        </w:rPr>
        <w:t>03 / OPERAÇÃO E COMÉRCIO</w:t>
      </w:r>
    </w:p>
    <w:p>
      <w:pPr>
        <w:pStyle w:val="Title"/>
      </w:pPr>
      <w:r>
        <w:t>Produto, receita, estoque e pedido conectados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16352" cy="19558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ducts-desktop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6352" cy="1955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i/>
                <w:color w:val="5C6774"/>
                <w:sz w:val="16"/>
              </w:rPr>
              <w:t>Catálogo com imagens e disponibilidade.</w:t>
            </w:r>
          </w:p>
        </w:tc>
        <w:tc>
          <w:tcPr>
            <w:tcW w:type="dxa" w:w="4680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16352" cy="19558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cipe-desktop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6352" cy="1955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i/>
                <w:color w:val="5C6774"/>
                <w:sz w:val="16"/>
              </w:rPr>
              <w:t>Receita persistente e consumo por unidade.</w:t>
            </w:r>
          </w:p>
        </w:tc>
      </w:tr>
    </w:tbl>
    <w:p>
      <w:pPr>
        <w:spacing w:after="0"/>
      </w:pPr>
    </w:p>
    <w:p>
      <w:r>
        <w:t>O checkout recalcula preço e receita no servidor. Cliente, pedido, itens, consumos, movimento de estoque e recebimento financeiro são consistentes dentro de transações controladas.</w:t>
      </w:r>
    </w:p>
    <w:p>
      <w:r>
        <w:br w:type="page"/>
      </w:r>
    </w:p>
    <w:p>
      <w:pPr>
        <w:spacing w:after="100"/>
      </w:pPr>
      <w:r>
        <w:rPr>
          <w:rFonts w:ascii="Calibri" w:hAnsi="Calibri"/>
          <w:b/>
          <w:color w:val="1399B4"/>
          <w:sz w:val="18"/>
        </w:rPr>
        <w:t>04 / COMPRA SIMULADA</w:t>
      </w:r>
    </w:p>
    <w:p>
      <w:pPr>
        <w:pStyle w:val="Title"/>
      </w:pPr>
      <w:r>
        <w:t>Da loja pública ao centro operacional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16352" cy="19558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orefront-desktop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6352" cy="1955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i/>
                <w:color w:val="5C6774"/>
                <w:sz w:val="16"/>
              </w:rPr>
              <w:t>Loja pública Galaxia Burger.</w:t>
            </w:r>
          </w:p>
        </w:tc>
        <w:tc>
          <w:tcPr>
            <w:tcW w:type="dxa" w:w="4680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16352" cy="19558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eckout-success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6352" cy="1955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i/>
                <w:color w:val="5C6774"/>
                <w:sz w:val="16"/>
              </w:rPr>
              <w:t>Compra simulada persistida.</w:t>
            </w:r>
          </w:p>
        </w:tc>
      </w:tr>
    </w:tbl>
    <w:p>
      <w:pPr>
        <w:spacing w:after="0"/>
      </w:pPr>
    </w:p>
    <w:p>
      <w:r>
        <w:t>A compra observada criou o pedido #0002 para Marina Browser, total R$ 29,90. A disponibilidade do Galaxia Smash caiu de 99 para 98 e o BI refletiu dois pedidos e R$ 59,80.</w:t>
      </w:r>
    </w:p>
    <w:p>
      <w:r>
        <w:br w:type="page"/>
      </w:r>
    </w:p>
    <w:p>
      <w:pPr>
        <w:spacing w:after="100"/>
      </w:pPr>
      <w:r>
        <w:rPr>
          <w:rFonts w:ascii="Calibri" w:hAnsi="Calibri"/>
          <w:b/>
          <w:color w:val="1399B4"/>
          <w:sz w:val="18"/>
        </w:rPr>
        <w:t>05 / FINANCEIRO ESSENCIAL</w:t>
      </w:r>
    </w:p>
    <w:p>
      <w:pPr>
        <w:pStyle w:val="Title"/>
      </w:pPr>
      <w:r>
        <w:t>Livro operacional auditável e tenant-scoped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16352" cy="2732253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nance-overview-desktop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6352" cy="27322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i/>
                <w:color w:val="5C6774"/>
                <w:sz w:val="16"/>
              </w:rPr>
              <w:t>Recebimentos e lançamentos manuais.</w:t>
            </w:r>
          </w:p>
        </w:tc>
        <w:tc>
          <w:tcPr>
            <w:tcW w:type="dxa" w:w="4680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16352" cy="19558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nance-entry-open-desktop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6352" cy="1955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i/>
                <w:color w:val="5C6774"/>
                <w:sz w:val="16"/>
              </w:rPr>
              <w:t>Entrada aberta, ações e histórico.</w:t>
            </w:r>
          </w:p>
        </w:tc>
      </w:tr>
    </w:tbl>
    <w:p>
      <w:pPr>
        <w:spacing w:after="0"/>
      </w:pPr>
    </w:p>
    <w:p>
      <w:r>
        <w:t>Valores usam centavos inteiros em BRL. Eventos são append-only; recebimentos de pedido são idempotentes e imutáveis; lançamentos manuais preservam versão, autoria e lifecycle.</w:t>
      </w:r>
    </w:p>
    <w:p>
      <w:r>
        <w:br w:type="page"/>
      </w:r>
    </w:p>
    <w:p>
      <w:pPr>
        <w:spacing w:after="100"/>
      </w:pPr>
      <w:r>
        <w:rPr>
          <w:rFonts w:ascii="Calibri" w:hAnsi="Calibri"/>
          <w:b/>
          <w:color w:val="1399B4"/>
          <w:sz w:val="18"/>
        </w:rPr>
        <w:t>06 / IDENTIDADE E PUBLICAÇÃO</w:t>
      </w:r>
    </w:p>
    <w:p>
      <w:pPr>
        <w:pStyle w:val="Title"/>
      </w:pPr>
      <w:r>
        <w:t>Rascunho privado, snapshot público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16352" cy="1980247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alaxia-studio-desktop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6352" cy="19802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i/>
                <w:color w:val="5C6774"/>
                <w:sz w:val="16"/>
              </w:rPr>
              <w:t>Estúdio Galaxia sem CSS arbitrário.</w:t>
            </w:r>
          </w:p>
        </w:tc>
        <w:tc>
          <w:tcPr>
            <w:tcW w:type="dxa" w:w="4680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16352" cy="2633729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bor-published-desktop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6352" cy="26337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i/>
                <w:color w:val="5C6774"/>
                <w:sz w:val="16"/>
              </w:rPr>
              <w:t>Sabor &amp; Brasa com direção própria.</w:t>
            </w:r>
          </w:p>
        </w:tc>
      </w:tr>
    </w:tbl>
    <w:p>
      <w:pPr>
        <w:spacing w:after="0"/>
      </w:pPr>
    </w:p>
    <w:p>
      <w:r>
        <w:t>O draft versionado nunca vaza antes da publicação. Publicar cria snapshot imutável; despublicar remove o ponteiro público sem apagar histórico; republicar recupera a loja.</w:t>
      </w:r>
    </w:p>
    <w:p>
      <w:r>
        <w:br w:type="page"/>
      </w:r>
    </w:p>
    <w:p>
      <w:pPr>
        <w:spacing w:after="100"/>
      </w:pPr>
      <w:r>
        <w:rPr>
          <w:rFonts w:ascii="Calibri" w:hAnsi="Calibri"/>
          <w:b/>
          <w:color w:val="1399B4"/>
          <w:sz w:val="18"/>
        </w:rPr>
        <w:t>07 / ACEITAÇÃO FINAL</w:t>
      </w:r>
    </w:p>
    <w:p>
      <w:pPr>
        <w:pStyle w:val="Title"/>
      </w:pPr>
      <w:r>
        <w:t>Segurança provada, limites declarados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13263F"/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96/100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color w:val="D7E2EC"/>
                <w:sz w:val="17"/>
              </w:rPr>
              <w:t>multi-tenant no app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13263F"/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84/100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color w:val="D7E2EC"/>
                <w:sz w:val="17"/>
              </w:rPr>
              <w:t>prontidão produção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13263F"/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2×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color w:val="D7E2EC"/>
                <w:sz w:val="17"/>
              </w:rPr>
              <w:t>rodadas verdes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13263F"/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0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color w:val="D7E2EC"/>
                <w:sz w:val="17"/>
              </w:rPr>
              <w:t>gates relaxados</w:t>
            </w:r>
          </w:p>
        </w:tc>
      </w:tr>
    </w:tbl>
    <w:p>
      <w:pPr>
        <w:spacing w:after="0"/>
      </w:pPr>
    </w:p>
    <w:p>
      <w:pPr>
        <w:pStyle w:val="Heading1"/>
      </w:pPr>
      <w:r>
        <w:t>Provas negativas</w:t>
      </w:r>
    </w:p>
    <w:p>
      <w:pPr>
        <w:pStyle w:val="ListBullet"/>
      </w:pPr>
      <w:r>
        <w:t>Usuário restrito vê apenas Galaxia Burger e não recebe navegação administrativa.</w:t>
      </w:r>
    </w:p>
    <w:p>
      <w:pPr>
        <w:pStyle w:val="ListBullet"/>
      </w:pPr>
      <w:r>
        <w:t>ID conhecido da empresa Sabor &amp; Brasa sob contexto Galaxia retorna 403 company_forbidden.</w:t>
      </w:r>
    </w:p>
    <w:p>
      <w:pPr>
        <w:pStyle w:val="ListBullet"/>
      </w:pPr>
      <w:r>
        <w:t>Recurso interno conhecido do tenant B retorna 404 sob o tenant A.</w:t>
      </w:r>
    </w:p>
    <w:p>
      <w:pPr>
        <w:pStyle w:val="ListBullet"/>
      </w:pPr>
      <w:r>
        <w:t>O navegador não concede tenantId, preço, receita nem capacidade.</w:t>
      </w:r>
    </w:p>
    <w:p>
      <w:pPr>
        <w:pStyle w:val="Heading1"/>
      </w:pPr>
      <w:r>
        <w:t>Duas rodadas consecutivas</w:t>
      </w:r>
    </w:p>
    <w:p>
      <w:r>
        <w:t>Seumei 68 arquivos/321 testes, lint, typecheck e build com 54 rotas; smoke 24 arquivos/158 testes; seis schemas Prisma; lint e typecheck globais 37/37; build global 10/10.</w:t>
      </w:r>
    </w:p>
    <w:p>
      <w:pPr>
        <w:pStyle w:val="Heading1"/>
      </w:pPr>
      <w:r>
        <w:t>O que falta para produção integral</w:t>
      </w:r>
    </w:p>
    <w:p>
      <w:pPr>
        <w:pStyle w:val="ListBullet"/>
      </w:pPr>
      <w:r>
        <w:t>RLS ou papel PostgreSQL restrito por tenant.</w:t>
      </w:r>
    </w:p>
    <w:p>
      <w:pPr>
        <w:pStyle w:val="ListBullet"/>
      </w:pPr>
      <w:r>
        <w:t>SSO/IdP de produção no lugar do broker mock de desenvolvimento.</w:t>
      </w:r>
    </w:p>
    <w:p>
      <w:pPr>
        <w:pStyle w:val="ListBullet"/>
      </w:pPr>
      <w:r>
        <w:t>Observabilidade tenant-safe e ensaio de migration/backup/restore.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4E8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DF6B30"/>
                <w:sz w:val="22"/>
              </w:rPr>
              <w:t>Próxima decisão</w:t>
            </w:r>
          </w:p>
          <w:p>
            <w:pPr>
              <w:spacing w:after="0"/>
            </w:pPr>
            <w:r>
              <w:t>Endurecer produção antes de expandir. Depois, implementar e-mail transacional de convite somente com ownership Core/mensageria, sandbox, sender verificado e outbox idempotente.</w:t>
            </w:r>
          </w:p>
        </w:tc>
      </w:tr>
    </w:tbl>
    <w:p>
      <w:pPr>
        <w:pStyle w:val="Heading2"/>
      </w:pPr>
      <w:r>
        <w:t>Limites honestos</w:t>
      </w:r>
    </w:p>
    <w:p>
      <w:r>
        <w:t>Web-first, sem instalador. Pagamento simulado; PSP, fiscal, frete, domínio, mídia e analytics dependem das pré-condições registradas no gate de integrações.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440" w:bottom="108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C6774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5C6774"/>
        <w:sz w:val="17"/>
      </w:rPr>
      <w:t>SEUMEI  /  MATRIZ-HUB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4263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</w:pPr>
    <w:rPr>
      <w:rFonts w:asciiTheme="majorHAnsi" w:eastAsiaTheme="majorEastAsia" w:hAnsiTheme="majorHAnsi" w:cstheme="majorBidi" w:ascii="Calibri" w:hAnsi="Calibri"/>
      <w:b w:val="0"/>
      <w:i/>
      <w:iCs/>
      <w:color w:val="5C6774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69" w:lineRule="auto"/>
      <w:ind w:left="720" w:hanging="36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69" w:lineRule="auto"/>
      <w:ind w:left="720" w:hanging="360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