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/>
        <w:jc w:val="center"/>
      </w:pPr>
      <w:r>
        <w:rPr>
          <w:rFonts w:ascii="Calibri" w:hAnsi="Calibri"/>
          <w:b/>
          <w:i w:val="0"/>
          <w:color w:val="167853"/>
          <w:sz w:val="20"/>
        </w:rPr>
        <w:t>ACEITAÇÃO DE PRODUTO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2222D"/>
          <w:sz w:val="58"/>
        </w:rPr>
        <w:t>Seumei Restaurant Demo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5C6972"/>
          <w:sz w:val="26"/>
        </w:rPr>
        <w:t>MyHub, receitas, estoque, loja, compra simulada, pedidos e clientes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F5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7853"/>
                <w:sz w:val="40"/>
              </w:rPr>
              <w:t>253</w:t>
              <w:br/>
            </w:r>
            <w:r>
              <w:rPr>
                <w:rFonts w:ascii="Calibri" w:hAnsi="Calibri"/>
                <w:b/>
                <w:i w:val="0"/>
                <w:color w:val="5C6972"/>
                <w:sz w:val="17"/>
              </w:rPr>
              <w:t>testes Seumei</w:t>
            </w:r>
          </w:p>
        </w:tc>
        <w:tc>
          <w:tcPr>
            <w:tcW w:type="dxa" w:w="3120"/>
            <w:shd w:fill="E8F5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7853"/>
                <w:sz w:val="40"/>
              </w:rPr>
              <w:t>43</w:t>
              <w:br/>
            </w:r>
            <w:r>
              <w:rPr>
                <w:rFonts w:ascii="Calibri" w:hAnsi="Calibri"/>
                <w:b/>
                <w:i w:val="0"/>
                <w:color w:val="5C6972"/>
                <w:sz w:val="17"/>
              </w:rPr>
              <w:t>rotas compiladas</w:t>
            </w:r>
          </w:p>
        </w:tc>
        <w:tc>
          <w:tcPr>
            <w:tcW w:type="dxa" w:w="3120"/>
            <w:shd w:fill="E8F5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7853"/>
                <w:sz w:val="40"/>
              </w:rPr>
              <w:t>2/2</w:t>
              <w:br/>
            </w:r>
            <w:r>
              <w:rPr>
                <w:rFonts w:ascii="Calibri" w:hAnsi="Calibri"/>
                <w:b/>
                <w:i w:val="0"/>
                <w:color w:val="5C6972"/>
                <w:sz w:val="17"/>
              </w:rPr>
              <w:t>rodadas verdes</w:t>
            </w:r>
          </w:p>
        </w:tc>
      </w:tr>
    </w:tbl>
    <w:p>
      <w:pPr>
        <w:spacing w:before="900"/>
        <w:jc w:val="center"/>
      </w:pPr>
      <w:r>
        <w:rPr>
          <w:rFonts w:ascii="Calibri" w:hAnsi="Calibri"/>
          <w:b/>
          <w:i w:val="0"/>
          <w:color w:val="5C6972"/>
          <w:sz w:val="20"/>
        </w:rPr>
        <w:t>Commit de aceitação do código: e3ad20e</w:t>
      </w:r>
    </w:p>
    <w:p>
      <w:pPr>
        <w:jc w:val="center"/>
      </w:pPr>
      <w:r>
        <w:rPr>
          <w:rFonts w:ascii="Calibri" w:hAnsi="Calibri"/>
          <w:b w:val="0"/>
          <w:i w:val="0"/>
          <w:color w:val="5C6972"/>
          <w:sz w:val="19"/>
        </w:rPr>
        <w:t>Branch codex/seumei-assimilation · appId seumei · web-first</w:t>
      </w:r>
    </w:p>
    <w:p>
      <w:r>
        <w:br w:type="page"/>
      </w:r>
    </w:p>
    <w:p>
      <w:pPr>
        <w:pStyle w:val="Heading1"/>
      </w:pPr>
      <w:r>
        <w:t>1. Resultado executivo</w:t>
      </w:r>
    </w:p>
    <w:p>
      <w:r>
        <w:rPr>
          <w:rFonts w:ascii="Calibri" w:hAnsi="Calibri"/>
          <w:b/>
          <w:i w:val="0"/>
          <w:color w:val="167853"/>
          <w:sz w:val="22"/>
        </w:rPr>
        <w:t xml:space="preserve">Concluído até o estado final deste ciclo. </w:t>
      </w:r>
      <w:r>
        <w:rPr>
          <w:rFonts w:ascii="Calibri" w:hAnsi="Calibri"/>
          <w:b w:val="0"/>
          <w:i w:val="0"/>
          <w:color w:val="12222D"/>
          <w:sz w:val="22"/>
        </w:rPr>
        <w:t>A Seumei percorre uma fatia vertical persistente, da identidade global até a baixa de ingredientes por pedido, sem persistência empresarial falsa no frontend.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9"/>
              </w:rPr>
              <w:t>Área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9"/>
              </w:rPr>
              <w:t>Resultado entregue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Federação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Conta global vê duas empresas; conta restrita vê apenas uma.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Culinária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Produtos, imagens, ingredientes, receitas e disponibilidade real.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Estoque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Saldos persistidos, movimentos imutáveis e consumo transacional.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Comércio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Loja publicada, checkout simulado, cliente, pedido e timeline.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Operação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BI do MyHub e workspace refletem receita, pedidos e estoque.</w:t>
            </w:r>
          </w:p>
        </w:tc>
      </w:tr>
    </w:tbl>
    <w:p>
      <w:pPr>
        <w:spacing w:after="20"/>
      </w:pPr>
    </w:p>
    <w:p>
      <w:pPr>
        <w:pStyle w:val="Heading2"/>
      </w:pPr>
      <w:r>
        <w:t>Decisões principais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2222D"/>
          <w:sz w:val="21"/>
        </w:rPr>
        <w:t>Core mantém ownership de usuário, tenant, registro do app e membership; Seumei mantém empresa e domínio operacional.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2222D"/>
          <w:sz w:val="21"/>
        </w:rPr>
        <w:t>Checkout deriva tenant por storeSlug, recalcula preço/receita no servidor e grava tudo em transação serializável.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2222D"/>
          <w:sz w:val="21"/>
        </w:rPr>
        <w:t>Receitas e estoque usam unidades inteiras; movimentos são imutáveis e o saldo não pode ficar negativo.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2222D"/>
          <w:sz w:val="21"/>
        </w:rPr>
        <w:t>Pagamento é explicitamente simulado; fiscal, entrega e cobrança real permanecem fora deste ciclo.</w:t>
      </w:r>
    </w:p>
    <w:p>
      <w:pPr>
        <w:pStyle w:val="Heading2"/>
      </w:pPr>
      <w:r>
        <w:t>Route flow implementado</w:t>
      </w:r>
    </w:p>
    <w:p>
      <w:pPr>
        <w:spacing w:after="240"/>
      </w:pPr>
      <w:r>
        <w:rPr>
          <w:rFonts w:ascii="Calibri" w:hAnsi="Calibri"/>
          <w:b/>
          <w:i w:val="0"/>
          <w:color w:val="167853"/>
          <w:sz w:val="21"/>
        </w:rPr>
        <w:t>/login → MyHub / → /enter/[companyId] → /workspace → produtos/receita/estoque → /store/[slug] → checkout → pedido/cliente</w:t>
      </w:r>
    </w:p>
    <w:p>
      <w:r>
        <w:br w:type="page"/>
      </w:r>
    </w:p>
    <w:p>
      <w:pPr>
        <w:pStyle w:val="Heading1"/>
      </w:pPr>
      <w:r>
        <w:t>2. Arquitetura e isolamento multi-tenant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9"/>
              </w:rPr>
              <w:t>Camada</w:t>
            </w:r>
          </w:p>
        </w:tc>
        <w:tc>
          <w:tcPr>
            <w:tcW w:type="dxa" w:w="7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9"/>
              </w:rPr>
              <w:t>Garantia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Contexto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Empresa ativa e tenant resolvidos server-side por sessão e membership.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Repositories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Toda leitura privada exige tenantId; loja pública deriva tenant da publicação.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Banco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Constraints e índices compostos impedem relações entre tenants.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HTTP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IDs conhecidos de outro tenant retornam 403/404 sem revelar dados.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Cache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Superfícies privadas usam contexto suficiente e no-store.</w:t>
            </w:r>
          </w:p>
        </w:tc>
      </w:tr>
    </w:tbl>
    <w:p>
      <w:pPr>
        <w:spacing w:after="20"/>
      </w:pPr>
    </w:p>
    <w:p>
      <w:pPr>
        <w:pStyle w:val="Heading2"/>
      </w:pPr>
      <w:r>
        <w:t>Testes negativos observados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2222D"/>
          <w:sz w:val="21"/>
        </w:rPr>
        <w:t>Operador da Galaxia Burger visualizou exatamente uma empresa no MyHub.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2222D"/>
          <w:sz w:val="21"/>
        </w:rPr>
        <w:t>Acesso direto ao ID conhecido da Sabor &amp; Brasa: HTTP 403 company_forbidden.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2222D"/>
          <w:sz w:val="21"/>
        </w:rPr>
        <w:t>Receita do tenant B consultada no contexto Galaxia: HTTP 404 restaurant_not_found.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2222D"/>
          <w:sz w:val="21"/>
        </w:rPr>
        <w:t>Browser não enviou tenantId como autoridade e não controlou preço do checkout.</w:t>
      </w:r>
    </w:p>
    <w:p>
      <w:pPr>
        <w:pStyle w:val="Heading2"/>
      </w:pPr>
      <w:r>
        <w:t>Maturidade atual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500"/>
        <w:gridCol w:w="5160"/>
      </w:tblGrid>
      <w:tr>
        <w:trPr>
          <w:tblHeader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9"/>
              </w:rPr>
              <w:t>Âmbito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9"/>
              </w:rPr>
              <w:t>Pontuação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9"/>
              </w:rPr>
              <w:t>Leitura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Isolamento da aplicação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96/100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Adequado para a fundação e demos persistentes.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Prontidão de produção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84/100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Depende de RLS/role restrita, SSO e observabilidade.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MyHub Federação e centro operacional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1" name="Picture 1" descr="Conta global: duas empresas autorizadas, R$ 59,80 de receita e dois pedidos em oper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hub-fede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i/>
          <w:color w:val="5C6972"/>
          <w:sz w:val="17"/>
        </w:rPr>
        <w:t>Conta global: duas empresas autorizadas, R$ 59,80 de receita e dois pedidos em operação.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619500"/>
            <wp:docPr id="2" name="Picture 2" descr="Workspace da empresa com métricas operacionais persistidas e navegação de domín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s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i/>
          <w:color w:val="5C6972"/>
          <w:sz w:val="17"/>
        </w:rPr>
        <w:t>Workspace da empresa com métricas operacionais persistidas e navegação de domínio.</w:t>
      </w:r>
    </w:p>
    <w:p>
      <w:r>
        <w:br w:type="page"/>
      </w:r>
    </w:p>
    <w:p>
      <w:pPr>
        <w:pStyle w:val="Heading1"/>
      </w:pPr>
      <w:r>
        <w:t>4. Produto, imagem e receita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3" name="Picture 3" descr="Catálogo Galaxia Burger com imagens autorais, preços e variantes persisti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s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i/>
          <w:color w:val="5C6972"/>
          <w:sz w:val="17"/>
        </w:rPr>
        <w:t>Catálogo Galaxia Burger com imagens autorais, preços e variantes persistidas.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619500"/>
            <wp:docPr id="4" name="Picture 4" descr="Receita aberta após o produto: ingredientes, rendimento e disponibilidade calcul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ipe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i/>
          <w:color w:val="5C6972"/>
          <w:sz w:val="17"/>
        </w:rPr>
        <w:t>Receita aberta após o produto: ingredientes, rendimento e disponibilidade calculada.</w:t>
      </w:r>
    </w:p>
    <w:p>
      <w:r>
        <w:br w:type="page"/>
      </w:r>
    </w:p>
    <w:p>
      <w:pPr>
        <w:pStyle w:val="Heading1"/>
      </w:pPr>
      <w:r>
        <w:t>5. Duas experiências visuais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5" name="Picture 5" descr="Galaxia Burger: linguagem escura, urbana e orientada a hambúrgue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front-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i/>
          <w:color w:val="5C6972"/>
          <w:sz w:val="17"/>
        </w:rPr>
        <w:t>Galaxia Burger: linguagem escura, urbana e orientada a hambúrgueres.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619500"/>
            <wp:docPr id="6" name="Picture 6" descr="Sabor &amp; Brasa: identidade editorial clara, cardápio e imagens própri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bor-e-brasa-sto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i/>
          <w:color w:val="5C6972"/>
          <w:sz w:val="17"/>
        </w:rPr>
        <w:t>Sabor &amp; Brasa: identidade editorial clara, cardápio e imagens próprios.</w:t>
      </w:r>
    </w:p>
    <w:p>
      <w:r>
        <w:br w:type="page"/>
      </w:r>
    </w:p>
    <w:p>
      <w:pPr>
        <w:pStyle w:val="Heading1"/>
      </w:pPr>
      <w:r>
        <w:t>6. Compra, pedido e responsividade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7" name="Picture 7" descr="Compra simulada concluída: pedido #0002, Marina Browser, total R$ 29,9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-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i/>
          <w:color w:val="5C6972"/>
          <w:sz w:val="17"/>
        </w:rPr>
        <w:t>Compra simulada concluída: pedido #0002, Marina Browser, total R$ 29,90.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619500"/>
            <wp:docPr id="8" name="Picture 8" descr="Pedido persistido aparece imediatamente no centro operacio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-deskt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 w:val="0"/>
          <w:i/>
          <w:color w:val="5C6972"/>
          <w:sz w:val="17"/>
        </w:rPr>
        <w:t>Pedido persistido aparece imediatamente no centro operacional.</w:t>
      </w:r>
    </w:p>
    <w:p>
      <w:r>
        <w:br w:type="page"/>
      </w:r>
    </w:p>
    <w:p>
      <w:pPr>
        <w:pStyle w:val="Heading1"/>
      </w:pPr>
      <w:r>
        <w:t>7. Evidência dos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9"/>
              </w:rPr>
              <w:t>Gate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9"/>
              </w:rPr>
              <w:t>Resultado por rodada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Seumei test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53 arquivos / 253 testes aprovados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Matriz Hub test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18 arquivos / 64 testes aprovados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Smoke global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24 arquivos / 158 testes aprovados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Schemas Prisma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6 de 6 válidos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Lint / typecheck / build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Escopados e globais aprovados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Repetição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2 de 2 rodadas consecutivas sobre o mesmo commit</w:t>
            </w:r>
          </w:p>
        </w:tc>
      </w:tr>
    </w:tbl>
    <w:p>
      <w:pPr>
        <w:spacing w:after="20"/>
      </w:pPr>
    </w:p>
    <w:p>
      <w:pPr>
        <w:pStyle w:val="Heading2"/>
      </w:pPr>
      <w:r>
        <w:t>Ambiente de aceitação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2222D"/>
          <w:sz w:val="21"/>
        </w:rPr>
        <w:t>PostgreSQL 17 descartável e isolado na porta 55432; serviço principal da máquina permaneceu intacto.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2222D"/>
          <w:sz w:val="21"/>
        </w:rPr>
        <w:t>Provisionamento demo executado duas vezes sem duplicar empresas, memberships ou pedido determinístico.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2222D"/>
          <w:sz w:val="21"/>
        </w:rPr>
        <w:t>Browser real: Chromium headed, desktop 1440×1000 e mobile 390×844; zero erro de aplicação nos fluxos felizes.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2222D"/>
          <w:sz w:val="21"/>
        </w:rPr>
        <w:t>Mobile sem overflow horizontal; refresh e nova sessão preservaram o estado persistido.</w:t>
      </w:r>
    </w:p>
    <w:p>
      <w:pPr>
        <w:pStyle w:val="Heading2"/>
      </w:pPr>
      <w:r>
        <w:t>Limites reais e próximo ciclo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9"/>
              </w:rPr>
              <w:t>Pendente</w:t>
            </w:r>
          </w:p>
        </w:tc>
        <w:tc>
          <w:tcPr>
            <w:tcW w:type="dxa" w:w="6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9"/>
              </w:rPr>
              <w:t>Próxima ação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RLS / papel PostgreSQL restrito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Endurecer a defesa em profundidade do banco.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SSO de produção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Trocar sessão mock pelo broker/IdP canônico.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Observabilidade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Correlação tenant-safe para checkout e conflitos.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222D"/>
                <w:sz w:val="18"/>
              </w:rPr>
              <w:t>Financeiro essencial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2222D"/>
                <w:sz w:val="18"/>
              </w:rPr>
              <w:t>Próximo ciclo recomendado: recebimentos derivados de pedidos e lançamentos em centavos.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C6972"/>
        <w:sz w:val="17"/>
      </w:rPr>
      <w:t xml:space="preserve">Matriz-Hub  |  Página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C6972"/>
        <w:sz w:val="17"/>
      </w:rPr>
      <w:t>SEUMEI · RELATÓRIO DE ACEITAÇÃO · 24 AGO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222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Seumei Restaurant Demo — Relatório de Aceitação</dc:title>
  <dc:subject>Assimilação nativa no Matriz-Hub</dc:subject>
  <dc:creator>Matriz</dc:creator>
  <cp:keywords>Seumei, Matriz-Hub, multi-tenant, aceitação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