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Times New Roman"/>
          <w:b w:val="0"/>
          <w:color w:val="17365D"/>
          <w:sz w:val="28"/>
        </w:rPr>
        <w:t>CO3103 – PROGRAMMING INTEGRATION PROJECT</w:t>
      </w:r>
    </w:p>
    <w:p>
      <w:pPr>
        <w:jc w:val="center"/>
      </w:pPr>
      <w:r>
        <w:rPr>
          <w:rFonts w:ascii="Times New Roman" w:hAnsi="Times New Roman" w:eastAsia="Times New Roman"/>
          <w:b w:val="0"/>
          <w:color w:val="1F4E79"/>
          <w:sz w:val="28"/>
        </w:rPr>
        <w:t>SOFTWARE ENGINEERING  |  SEMESTER 261</w:t>
      </w:r>
    </w:p>
    <w:p/>
    <w:p/>
    <w:p>
      <w:pPr>
        <w:jc w:val="center"/>
      </w:pPr>
      <w:r>
        <w:rPr>
          <w:rFonts w:ascii="Arial" w:hAnsi="Arial" w:eastAsia="Arial"/>
          <w:b/>
          <w:color w:val="17365D"/>
          <w:sz w:val="40"/>
        </w:rPr>
        <w:t>INTERIM PROJECT REPORT</w:t>
      </w:r>
    </w:p>
    <w:p>
      <w:pPr>
        <w:jc w:val="center"/>
      </w:pPr>
      <w:r>
        <w:rPr>
          <w:rFonts w:ascii="Arial" w:hAnsi="Arial" w:eastAsia="Arial"/>
          <w:b/>
          <w:color w:val="1F4E79"/>
          <w:sz w:val="40"/>
        </w:rPr>
        <w:t>LINGOSPHERE</w:t>
      </w:r>
    </w:p>
    <w:p>
      <w:pPr>
        <w:jc w:val="center"/>
      </w:pPr>
      <w:r>
        <w:rPr>
          <w:rFonts w:ascii="Times New Roman" w:hAnsi="Times New Roman" w:eastAsia="Times New Roman"/>
          <w:b w:val="0"/>
          <w:color w:val="202020"/>
          <w:sz w:val="28"/>
        </w:rPr>
        <w:t>An Online Learning Platform with Short Practice Activities</w:t>
        <w:br/>
        <w:t>and Learning Analytics &amp; Early Warning</w:t>
      </w:r>
    </w:p>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tcMar>
              <w:top w:w="70" w:type="dxa"/>
              <w:start w:w="80" w:type="dxa"/>
              <w:bottom w:w="70" w:type="dxa"/>
              <w:end w:w="80" w:type="dxa"/>
            </w:tcMar>
            <w:vAlign w:val="center"/>
          </w:tcPr>
          <w:p>
            <w:r>
              <w:t>Field</w:t>
            </w:r>
          </w:p>
        </w:tc>
        <w:tc>
          <w:tcPr>
            <w:tcW w:type="dxa" w:w="5083"/>
            <w:shd w:fill="17365D"/>
            <w:tcMar>
              <w:top w:w="70" w:type="dxa"/>
              <w:start w:w="80" w:type="dxa"/>
              <w:bottom w:w="70" w:type="dxa"/>
              <w:end w:w="80" w:type="dxa"/>
            </w:tcMar>
            <w:vAlign w:val="center"/>
          </w:tcPr>
          <w:p>
            <w:r>
              <w:t>Information</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19"/>
              </w:rPr>
              <w:t>Course / Học phần</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19"/>
              </w:rPr>
              <w:t>CO3103 – Programming Integration Project (Software Engineering)</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19"/>
              </w:rPr>
              <w:t>Semester / Học kỳ</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19"/>
              </w:rPr>
              <w:t>261</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19"/>
              </w:rPr>
              <w:t>Group / Nhóm</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19"/>
              </w:rPr>
              <w:t>DATH-261 Group 12</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19"/>
              </w:rPr>
              <w:t>Team members / Thành viên</w:t>
            </w:r>
          </w:p>
        </w:tc>
        <w:tc>
          <w:tcPr>
            <w:tcW w:type="dxa" w:w="5083"/>
            <w:vAlign w:val="center"/>
            <w:tcMar>
              <w:top w:w="70" w:type="dxa"/>
              <w:start w:w="80" w:type="dxa"/>
              <w:bottom w:w="70" w:type="dxa"/>
              <w:end w:w="80" w:type="dxa"/>
            </w:tcMar>
            <w:shd w:fill="F2F4F7"/>
          </w:tcPr>
          <w:p>
            <w:pPr>
              <w:spacing w:after="20"/>
            </w:pPr>
            <w:r/>
            <w:r>
              <w:rPr>
                <w:rFonts w:ascii="Times New Roman" w:hAnsi="Times New Roman" w:eastAsia="Times New Roman"/>
                <w:sz w:val="19"/>
              </w:rPr>
              <w:t>Nguyễn Lê Phú Tài – 2413039 / Nguyễn Huỳnh Đức – 2036118 / Khâu Phương Nghi – 2412246 / Phạm Tiến Đạt – 2410724</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19"/>
              </w:rPr>
              <w:t>Group leader / Trưởng nhóm</w:t>
            </w:r>
          </w:p>
        </w:tc>
        <w:tc>
          <w:tcPr>
            <w:tcW w:type="dxa" w:w="5083"/>
            <w:vAlign w:val="center"/>
            <w:tcMar>
              <w:top w:w="70" w:type="dxa"/>
              <w:start w:w="80" w:type="dxa"/>
              <w:bottom w:w="70" w:type="dxa"/>
              <w:end w:w="80" w:type="dxa"/>
            </w:tcMar>
          </w:tcPr>
          <w:p>
            <w:pPr>
              <w:spacing w:after="20"/>
            </w:pPr>
            <w:r/>
            <w:r>
              <w:rPr>
                <w:rFonts w:ascii="Times New Roman" w:hAnsi="Times New Roman" w:eastAsia="Times New Roman"/>
                <w:sz w:val="19"/>
              </w:rPr>
              <w:t>Nguyễn Lê Phú Tài – 2413039</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19"/>
              </w:rPr>
              <w:t>Project repository / Kho mã nguồn</w:t>
            </w:r>
          </w:p>
        </w:tc>
        <w:tc>
          <w:tcPr>
            <w:tcW w:type="dxa" w:w="5083"/>
            <w:vAlign w:val="center"/>
            <w:tcMar>
              <w:top w:w="70" w:type="dxa"/>
              <w:start w:w="80" w:type="dxa"/>
              <w:bottom w:w="70" w:type="dxa"/>
              <w:end w:w="80" w:type="dxa"/>
            </w:tcMar>
            <w:shd w:fill="F2F4F7"/>
          </w:tcPr>
          <w:p>
            <w:pPr>
              <w:spacing w:after="20"/>
            </w:pPr>
            <w:r/>
            <w:r>
              <w:rPr>
                <w:rFonts w:ascii="Times New Roman" w:hAnsi="Times New Roman" w:eastAsia="Times New Roman"/>
                <w:sz w:val="19"/>
              </w:rPr>
              <w:t xml:space="preserve">https://github.com/tainlp0306/DATH-261-Group-12 — main; final report commit: </w:t>
            </w:r>
            <w:r>
              <w:rPr>
                <w:rFonts w:ascii="Times New Roman" w:hAnsi="Times New Roman" w:eastAsia="Times New Roman"/>
                <w:sz w:val="19"/>
                <w:highlight w:val="yellow"/>
              </w:rPr>
              <w:t>[ADD final commit hash after push]</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19"/>
              </w:rPr>
              <w:t>Prototype / Bản chạy thử</w:t>
            </w:r>
          </w:p>
        </w:tc>
        <w:tc>
          <w:tcPr>
            <w:tcW w:type="dxa" w:w="5083"/>
            <w:vAlign w:val="center"/>
            <w:tcMar>
              <w:top w:w="70" w:type="dxa"/>
              <w:start w:w="80" w:type="dxa"/>
              <w:bottom w:w="70" w:type="dxa"/>
              <w:end w:w="80" w:type="dxa"/>
            </w:tcMar>
          </w:tcPr>
          <w:p>
            <w:pPr>
              <w:spacing w:after="20"/>
            </w:pPr>
            <w:r/>
            <w:r>
              <w:rPr>
                <w:rFonts w:ascii="Times New Roman" w:hAnsi="Times New Roman" w:eastAsia="Times New Roman"/>
                <w:sz w:val="19"/>
              </w:rPr>
              <w:t>https://dath-261-group-12-frontend.onrender.com</w:t>
              <w:br/>
            </w:r>
            <w:r>
              <w:rPr>
                <w:rFonts w:ascii="Times New Roman" w:hAnsi="Times New Roman" w:eastAsia="Times New Roman"/>
                <w:sz w:val="19"/>
                <w:highlight w:val="yellow"/>
              </w:rPr>
              <w:t>[VERIFY successful frontend-to-backend API after latest deploy; add date/result]</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19"/>
              </w:rPr>
              <w:t>Report date / Ngày báo cáo</w:t>
            </w:r>
          </w:p>
        </w:tc>
        <w:tc>
          <w:tcPr>
            <w:tcW w:type="dxa" w:w="5083"/>
            <w:vAlign w:val="center"/>
            <w:tcMar>
              <w:top w:w="70" w:type="dxa"/>
              <w:start w:w="80" w:type="dxa"/>
              <w:bottom w:w="70" w:type="dxa"/>
              <w:end w:w="80" w:type="dxa"/>
            </w:tcMar>
            <w:shd w:fill="F2F4F7"/>
          </w:tcPr>
          <w:p>
            <w:pPr>
              <w:spacing w:after="20"/>
            </w:pPr>
            <w:r/>
            <w:r>
              <w:rPr>
                <w:rFonts w:ascii="Times New Roman" w:hAnsi="Times New Roman" w:eastAsia="Times New Roman"/>
                <w:sz w:val="19"/>
              </w:rPr>
              <w:t>30 October 2026</w:t>
            </w:r>
          </w:p>
        </w:tc>
      </w:tr>
    </w:tbl>
    <w:p>
      <w:pPr>
        <w:spacing w:after="20"/>
      </w:pPr>
    </w:p>
    <w:p>
      <w:pPr>
        <w:jc w:val="center"/>
      </w:pPr>
      <w:r>
        <w:rPr>
          <w:rFonts w:ascii="Times New Roman" w:hAnsi="Times New Roman" w:eastAsia="Times New Roman"/>
          <w:b/>
          <w:color w:val="9C6500"/>
          <w:sz w:val="20"/>
        </w:rPr>
        <w:t>DRAFT FOR TEAM REVIEW — English is the required submission language.</w:t>
      </w:r>
    </w:p>
    <w:p>
      <w:r>
        <w:rPr>
          <w:rFonts w:ascii="Times New Roman" w:hAnsi="Times New Roman" w:eastAsia="Times New Roman"/>
          <w:sz w:val="22"/>
        </w:rPr>
        <w:br w:type="page"/>
      </w:r>
    </w:p>
    <w:p>
      <w:pPr>
        <w:pStyle w:val="Heading1"/>
      </w:pPr>
      <w:r>
        <w:rPr>
          <w:rFonts w:ascii="Arial" w:hAnsi="Arial" w:eastAsia="Arial"/>
          <w:b/>
          <w:sz w:val="24"/>
        </w:rPr>
        <w:t>1. Agreed scope, changes and progress against the proposal</w:t>
      </w:r>
    </w:p>
    <w:p>
      <w:pPr>
        <w:spacing w:after="60" w:line="240" w:lineRule="auto"/>
      </w:pPr>
      <w:r>
        <w:rPr>
          <w:rFonts w:ascii="Times New Roman" w:hAnsi="Times New Roman" w:eastAsia="Times New Roman"/>
          <w:sz w:val="22"/>
        </w:rPr>
        <w:t>LingoSphere is a role-based language-learning LMS. At the interim stage, the group has connected the proposal-selected Learning Analytics &amp; Early Warning component and its reusable short-practice idea to the main course workflow. AI/RAG was removed from the agreed scope to reduce implementation load. The comparison below evaluates each proposal area against the current implementation and evidence, rather than treating planned outcomes as completed.</w:t>
      </w:r>
    </w:p>
    <w:tbl>
      <w:tblPr>
        <w:tblStyle w:val="TableGrid"/>
        <w:tblW w:type="auto" w:w="0"/>
        <w:tblLayout w:type="autofit"/>
        <w:tblLook w:firstColumn="1" w:firstRow="1" w:lastColumn="0" w:lastRow="0" w:noHBand="0" w:noVBand="1" w:val="04A0"/>
      </w:tblPr>
      <w:tblGrid>
        <w:gridCol w:w="4701"/>
        <w:gridCol w:w="4701"/>
      </w:tblGrid>
      <w:tr>
        <w:tc>
          <w:tcPr>
            <w:tcW w:type="dxa" w:w="4701"/>
            <w:vAlign w:val="top"/>
            <w:shd w:fill="D9EAF7"/>
          </w:tcPr>
          <w:p>
            <w:pPr>
              <w:spacing w:before="0" w:after="40" w:line="240" w:lineRule="auto"/>
            </w:pPr>
            <w:r/>
            <w:r>
              <w:rPr>
                <w:rFonts w:ascii="Times New Roman" w:hAnsi="Times New Roman" w:eastAsia="Times New Roman"/>
                <w:b/>
                <w:sz w:val="19"/>
              </w:rPr>
              <w:t>Proposal area / target</w:t>
            </w:r>
          </w:p>
        </w:tc>
        <w:tc>
          <w:tcPr>
            <w:tcW w:type="dxa" w:w="4701"/>
            <w:vAlign w:val="top"/>
            <w:shd w:fill="D9EAF7"/>
          </w:tcPr>
          <w:p>
            <w:pPr>
              <w:spacing w:before="0" w:after="40" w:line="240" w:lineRule="auto"/>
            </w:pPr>
            <w:r/>
            <w:r>
              <w:rPr>
                <w:rFonts w:ascii="Times New Roman" w:hAnsi="Times New Roman" w:eastAsia="Times New Roman"/>
                <w:b/>
                <w:sz w:val="19"/>
              </w:rPr>
              <w:t>Interim implementation and assessment</w:t>
            </w:r>
          </w:p>
        </w:tc>
      </w:tr>
      <w:tr>
        <w:tc>
          <w:tcPr>
            <w:tcW w:type="dxa" w:w="4701"/>
            <w:vAlign w:val="top"/>
          </w:tcPr>
          <w:p>
            <w:pPr>
              <w:spacing w:before="0" w:after="40" w:line="240" w:lineRule="auto"/>
            </w:pPr>
            <w:r/>
            <w:r>
              <w:rPr>
                <w:rFonts w:ascii="Times New Roman" w:hAnsi="Times New Roman" w:eastAsia="Times New Roman"/>
                <w:b w:val="0"/>
                <w:sz w:val="19"/>
              </w:rPr>
              <w:t>Core LMS acceptance: instructors create courses/materials; learners enroll, study, exchange notifications and track progress.</w:t>
            </w:r>
          </w:p>
        </w:tc>
        <w:tc>
          <w:tcPr>
            <w:tcW w:type="dxa" w:w="4701"/>
            <w:vAlign w:val="top"/>
          </w:tcPr>
          <w:p>
            <w:pPr>
              <w:spacing w:before="0" w:after="40" w:line="240" w:lineRule="auto"/>
            </w:pPr>
            <w:r/>
            <w:r>
              <w:rPr>
                <w:rFonts w:ascii="Times New Roman" w:hAnsi="Times New Roman" w:eastAsia="Times New Roman"/>
                <w:b w:val="0"/>
                <w:sz w:val="19"/>
              </w:rPr>
              <w:t>Substantially implemented: role-based accounts, course authoring and publication, modules/lessons, learning materials, enrollment, learner progress, course notifications, assessments and grading are present. The feature checklist records checks for the principal flows. Some newer UI changes still require a fresh screen recording and hosted verification.</w:t>
            </w:r>
          </w:p>
        </w:tc>
      </w:tr>
      <w:tr>
        <w:tc>
          <w:tcPr>
            <w:tcW w:type="dxa" w:w="4701"/>
            <w:vAlign w:val="top"/>
          </w:tcPr>
          <w:p>
            <w:pPr>
              <w:spacing w:before="0" w:after="40" w:line="240" w:lineRule="auto"/>
            </w:pPr>
            <w:r/>
            <w:r>
              <w:rPr>
                <w:rFonts w:ascii="Times New Roman" w:hAnsi="Times New Roman" w:eastAsia="Times New Roman"/>
                <w:b w:val="0"/>
                <w:sz w:val="19"/>
              </w:rPr>
              <w:t>Active practice: keyboard entry and non-Latin character drawing, with repeat practice.</w:t>
            </w:r>
          </w:p>
        </w:tc>
        <w:tc>
          <w:tcPr>
            <w:tcW w:type="dxa" w:w="4701"/>
            <w:vAlign w:val="top"/>
          </w:tcPr>
          <w:p>
            <w:pPr>
              <w:spacing w:before="0" w:after="40" w:line="240" w:lineRule="auto"/>
            </w:pPr>
            <w:r/>
            <w:r>
              <w:rPr>
                <w:rFonts w:ascii="Times New Roman" w:hAnsi="Times New Roman" w:eastAsia="Times New Roman"/>
                <w:b w:val="0"/>
                <w:sz w:val="19"/>
              </w:rPr>
              <w:t>Partially achieved: vocabulary typing is checked and scored; writing canvas strokes are normalized and stored, and attempts can be repeated. The system does not recognize handwriting, validate stroke order or score writing shape. The proposal's writing-learning outcome is therefore not fully met.</w:t>
            </w:r>
          </w:p>
        </w:tc>
      </w:tr>
      <w:tr>
        <w:tc>
          <w:tcPr>
            <w:tcW w:type="dxa" w:w="4701"/>
            <w:vAlign w:val="top"/>
          </w:tcPr>
          <w:p>
            <w:pPr>
              <w:spacing w:before="0" w:after="40" w:line="240" w:lineRule="auto"/>
            </w:pPr>
            <w:r/>
            <w:r>
              <w:rPr>
                <w:rFonts w:ascii="Times New Roman" w:hAnsi="Times New Roman" w:eastAsia="Times New Roman"/>
                <w:b w:val="0"/>
                <w:sz w:val="19"/>
              </w:rPr>
              <w:t>Automatic assessment and immediate feedback.</w:t>
            </w:r>
          </w:p>
        </w:tc>
        <w:tc>
          <w:tcPr>
            <w:tcW w:type="dxa" w:w="4701"/>
            <w:vAlign w:val="top"/>
          </w:tcPr>
          <w:p>
            <w:pPr>
              <w:spacing w:before="0" w:after="40" w:line="240" w:lineRule="auto"/>
            </w:pPr>
            <w:r/>
            <w:r>
              <w:rPr>
                <w:rFonts w:ascii="Times New Roman" w:hAnsi="Times New Roman" w:eastAsia="Times New Roman"/>
                <w:b w:val="0"/>
                <w:sz w:val="19"/>
              </w:rPr>
              <w:t>Achieved for short quizzes/vocabulary and existing LMS quizzes: answers are checked and a score is returned. File assignments are submitted and graded by instructors. Writing submissions are saved for self-review only, not automatically assessed.</w:t>
            </w:r>
          </w:p>
        </w:tc>
      </w:tr>
      <w:tr>
        <w:tc>
          <w:tcPr>
            <w:tcW w:type="dxa" w:w="4701"/>
            <w:vAlign w:val="top"/>
          </w:tcPr>
          <w:p>
            <w:pPr>
              <w:spacing w:before="0" w:after="40" w:line="240" w:lineRule="auto"/>
            </w:pPr>
            <w:r/>
            <w:r>
              <w:rPr>
                <w:rFonts w:ascii="Times New Roman" w:hAnsi="Times New Roman" w:eastAsia="Times New Roman"/>
                <w:b w:val="0"/>
                <w:sz w:val="19"/>
              </w:rPr>
              <w:t>Learning Analytics &amp; Early Warning (mandatory advanced direction).</w:t>
            </w:r>
          </w:p>
        </w:tc>
        <w:tc>
          <w:tcPr>
            <w:tcW w:type="dxa" w:w="4701"/>
            <w:vAlign w:val="top"/>
          </w:tcPr>
          <w:p>
            <w:pPr>
              <w:spacing w:before="0" w:after="40" w:line="240" w:lineRule="auto"/>
            </w:pPr>
            <w:r/>
            <w:r>
              <w:rPr>
                <w:rFonts w:ascii="Times New Roman" w:hAnsi="Times New Roman" w:eastAsia="Times New Roman"/>
                <w:b w:val="0"/>
                <w:sz w:val="19"/>
              </w:rPr>
              <w:t>Prototype implemented: timestamped learning events, course/learner progress indicators, rule explanations and instructor-triggered reminders. Completion, inactivity and recent quiz results contribute to risk indicators. Vocabulary retention accuracy and validated detection accuracy are not yet established.</w:t>
            </w:r>
          </w:p>
        </w:tc>
      </w:tr>
      <w:tr>
        <w:tc>
          <w:tcPr>
            <w:tcW w:type="dxa" w:w="4701"/>
            <w:vAlign w:val="top"/>
          </w:tcPr>
          <w:p>
            <w:pPr>
              <w:spacing w:before="0" w:after="40" w:line="240" w:lineRule="auto"/>
            </w:pPr>
            <w:r/>
            <w:r>
              <w:rPr>
                <w:rFonts w:ascii="Times New Roman" w:hAnsi="Times New Roman" w:eastAsia="Times New Roman"/>
                <w:b w:val="0"/>
                <w:sz w:val="19"/>
              </w:rPr>
              <w:t>Proposal evaluation plan: simulated logs, detection accuracy, chart rendering and instructor-dashboard usability.</w:t>
            </w:r>
          </w:p>
        </w:tc>
        <w:tc>
          <w:tcPr>
            <w:tcW w:type="dxa" w:w="4701"/>
            <w:vAlign w:val="top"/>
          </w:tcPr>
          <w:p>
            <w:pPr>
              <w:spacing w:before="0" w:after="40" w:line="240" w:lineRule="auto"/>
            </w:pPr>
            <w:r/>
            <w:r>
              <w:rPr>
                <w:rFonts w:ascii="Times New Roman" w:hAnsi="Times New Roman" w:eastAsia="Times New Roman"/>
                <w:b w:val="0"/>
                <w:sz w:val="19"/>
              </w:rPr>
              <w:t>The repository provides a deterministic 24-learner simulated cohort and tests rule behavior. No precision/recall or labeled detection accuracy, chart performance measurement or formal instructor usability study is evidenced yet. These remain evaluation work, not results.</w:t>
            </w:r>
          </w:p>
        </w:tc>
      </w:tr>
      <w:tr>
        <w:tc>
          <w:tcPr>
            <w:tcW w:type="dxa" w:w="4701"/>
            <w:vAlign w:val="top"/>
          </w:tcPr>
          <w:p>
            <w:pPr>
              <w:spacing w:before="0" w:after="40" w:line="240" w:lineRule="auto"/>
            </w:pPr>
            <w:r/>
            <w:r>
              <w:rPr>
                <w:rFonts w:ascii="Times New Roman" w:hAnsi="Times New Roman" w:eastAsia="Times New Roman"/>
                <w:b w:val="0"/>
                <w:sz w:val="19"/>
              </w:rPr>
              <w:t>Architecture, technology and storage.</w:t>
            </w:r>
          </w:p>
        </w:tc>
        <w:tc>
          <w:tcPr>
            <w:tcW w:type="dxa" w:w="4701"/>
            <w:vAlign w:val="top"/>
          </w:tcPr>
          <w:p>
            <w:pPr>
              <w:spacing w:before="0" w:after="40" w:line="240" w:lineRule="auto"/>
            </w:pPr>
            <w:r/>
            <w:r>
              <w:rPr>
                <w:rFonts w:ascii="Times New Roman" w:hAnsi="Times New Roman" w:eastAsia="Times New Roman"/>
                <w:b w:val="0"/>
                <w:sz w:val="19"/>
              </w:rPr>
              <w:t>React/Vite frontend, Django/DRF backend, PostgreSQL and Docker/Compose align with the proposal. Current uploads use local media; object storage has not been configured. Render deployment was attempted, but the latest recorded backend log showed a CORS-origin configuration error; successful end-to-end hosted operation still needs evidence.</w:t>
            </w:r>
          </w:p>
        </w:tc>
      </w:tr>
      <w:tr>
        <w:tc>
          <w:tcPr>
            <w:tcW w:type="dxa" w:w="4701"/>
            <w:vAlign w:val="top"/>
          </w:tcPr>
          <w:p>
            <w:pPr>
              <w:spacing w:before="0" w:after="40" w:line="240" w:lineRule="auto"/>
            </w:pPr>
            <w:r/>
            <w:r>
              <w:rPr>
                <w:rFonts w:ascii="Times New Roman" w:hAnsi="Times New Roman" w:eastAsia="Times New Roman"/>
                <w:b w:val="0"/>
                <w:sz w:val="19"/>
              </w:rPr>
              <w:t>Scope change: AI/RAG.</w:t>
            </w:r>
          </w:p>
        </w:tc>
        <w:tc>
          <w:tcPr>
            <w:tcW w:type="dxa" w:w="4701"/>
            <w:vAlign w:val="top"/>
          </w:tcPr>
          <w:p>
            <w:pPr>
              <w:spacing w:before="0" w:after="40" w:line="240" w:lineRule="auto"/>
            </w:pPr>
            <w:r/>
            <w:r>
              <w:rPr>
                <w:rFonts w:ascii="Times New Roman" w:hAnsi="Times New Roman" w:eastAsia="Times New Roman"/>
                <w:b w:val="0"/>
                <w:sz w:val="19"/>
              </w:rPr>
              <w:t>Removed by group decision to control workload. No AI feature or AI-derived result is claimed in this report.</w:t>
            </w:r>
          </w:p>
        </w:tc>
      </w:tr>
    </w:tbl>
    <w:p>
      <w:pPr>
        <w:spacing w:after="20"/>
      </w:pPr>
    </w:p>
    <w:p>
      <w:pPr>
        <w:spacing w:after="80" w:line="240" w:lineRule="auto"/>
      </w:pPr>
      <w:r>
        <w:rPr>
          <w:rFonts w:ascii="Times New Roman" w:hAnsi="Times New Roman" w:eastAsia="Times New Roman"/>
          <w:b/>
          <w:sz w:val="22"/>
          <w:highlight w:val="yellow"/>
        </w:rPr>
        <w:t>DEMO EVIDENCE—SCOPE: Record one short comparison walkthrough: show the implemented LMS/practice/analytics paths, then state the writing-recognition and retention-analysis limitations. Add the video link, date, build/commit and test account role here.</w:t>
      </w:r>
    </w:p>
    <w:p>
      <w:pPr>
        <w:pStyle w:val="Heading1"/>
        <w:keepNext/>
        <w:spacing w:before="160" w:after="80"/>
      </w:pPr>
      <w:r>
        <w:rPr>
          <w:rFonts w:ascii="Arial" w:hAnsi="Arial" w:eastAsia="Arial"/>
          <w:b/>
          <w:sz w:val="24"/>
        </w:rPr>
        <w:t>2. UI/UX, architecture, data model and principal APIs</w:t>
      </w:r>
    </w:p>
    <w:p>
      <w:pPr>
        <w:spacing w:after="60" w:line="240" w:lineRule="auto"/>
      </w:pPr>
      <w:r>
        <w:rPr>
          <w:rFonts w:ascii="Times New Roman" w:hAnsi="Times New Roman" w:eastAsia="Times New Roman"/>
          <w:sz w:val="22"/>
        </w:rPr>
        <w:t>UI/UX and user flows. The learner course page presents chapters, lessons, assignments and short activities in one outline; opening a lesson or activity uses a separate content page to preserve reading space. Instructors manage course content, assessments and analytics through course-management tabs. The administration area separates user, course, report and log management. The frontend hides actions that are not appropriate for a role, while the backend independently checks authentication, course ownership, enrollment and publication status.</w:t>
      </w:r>
    </w:p>
    <w:tbl>
      <w:tblPr>
        <w:tblStyle w:val="TableGrid"/>
        <w:tblW w:type="auto" w:w="0"/>
        <w:tblLayout w:type="autofit"/>
        <w:tblLook w:firstColumn="1" w:firstRow="1" w:lastColumn="0" w:lastRow="0" w:noHBand="0" w:noVBand="1" w:val="04A0"/>
      </w:tblPr>
      <w:tblGrid>
        <w:gridCol w:w="4701"/>
        <w:gridCol w:w="4701"/>
      </w:tblGrid>
      <w:tr>
        <w:tc>
          <w:tcPr>
            <w:tcW w:type="dxa" w:w="4701"/>
            <w:vAlign w:val="top"/>
            <w:shd w:fill="D9EAF7"/>
          </w:tcPr>
          <w:p>
            <w:pPr>
              <w:spacing w:before="0" w:after="40" w:line="240" w:lineRule="auto"/>
            </w:pPr>
            <w:r/>
            <w:r>
              <w:rPr>
                <w:rFonts w:ascii="Times New Roman" w:hAnsi="Times New Roman" w:eastAsia="Times New Roman"/>
                <w:b/>
                <w:sz w:val="19"/>
              </w:rPr>
              <w:t>Role</w:t>
            </w:r>
          </w:p>
        </w:tc>
        <w:tc>
          <w:tcPr>
            <w:tcW w:type="dxa" w:w="4701"/>
            <w:vAlign w:val="top"/>
            <w:shd w:fill="D9EAF7"/>
          </w:tcPr>
          <w:p>
            <w:pPr>
              <w:spacing w:before="0" w:after="40" w:line="240" w:lineRule="auto"/>
            </w:pPr>
            <w:r/>
            <w:r>
              <w:rPr>
                <w:rFonts w:ascii="Times New Roman" w:hAnsi="Times New Roman" w:eastAsia="Times New Roman"/>
                <w:b/>
                <w:sz w:val="19"/>
              </w:rPr>
              <w:t>Main flow</w:t>
            </w:r>
          </w:p>
        </w:tc>
      </w:tr>
      <w:tr>
        <w:tc>
          <w:tcPr>
            <w:tcW w:type="dxa" w:w="4701"/>
            <w:vAlign w:val="top"/>
          </w:tcPr>
          <w:p>
            <w:pPr>
              <w:spacing w:before="0" w:after="40" w:line="240" w:lineRule="auto"/>
            </w:pPr>
            <w:r/>
            <w:r>
              <w:rPr>
                <w:rFonts w:ascii="Times New Roman" w:hAnsi="Times New Roman" w:eastAsia="Times New Roman"/>
                <w:b w:val="0"/>
                <w:sz w:val="19"/>
              </w:rPr>
              <w:t>Visitor</w:t>
            </w:r>
          </w:p>
        </w:tc>
        <w:tc>
          <w:tcPr>
            <w:tcW w:type="dxa" w:w="4701"/>
            <w:vAlign w:val="top"/>
          </w:tcPr>
          <w:p>
            <w:pPr>
              <w:spacing w:before="0" w:after="40" w:line="240" w:lineRule="auto"/>
            </w:pPr>
            <w:r/>
            <w:r>
              <w:rPr>
                <w:rFonts w:ascii="Times New Roman" w:hAnsi="Times New Roman" w:eastAsia="Times New Roman"/>
                <w:b w:val="0"/>
                <w:sz w:val="19"/>
              </w:rPr>
              <w:t>Browse published courses → search/sort/page the catalog → open registration or sign-in.</w:t>
            </w:r>
          </w:p>
        </w:tc>
      </w:tr>
      <w:tr>
        <w:tc>
          <w:tcPr>
            <w:tcW w:type="dxa" w:w="4701"/>
            <w:vAlign w:val="top"/>
          </w:tcPr>
          <w:p>
            <w:pPr>
              <w:spacing w:before="0" w:after="40" w:line="240" w:lineRule="auto"/>
            </w:pPr>
            <w:r/>
            <w:r>
              <w:rPr>
                <w:rFonts w:ascii="Times New Roman" w:hAnsi="Times New Roman" w:eastAsia="Times New Roman"/>
                <w:b w:val="0"/>
                <w:sz w:val="19"/>
              </w:rPr>
              <w:t>Learner</w:t>
            </w:r>
          </w:p>
        </w:tc>
        <w:tc>
          <w:tcPr>
            <w:tcW w:type="dxa" w:w="4701"/>
            <w:vAlign w:val="top"/>
          </w:tcPr>
          <w:p>
            <w:pPr>
              <w:spacing w:before="0" w:after="40" w:line="240" w:lineRule="auto"/>
            </w:pPr>
            <w:r/>
            <w:r>
              <w:rPr>
                <w:rFonts w:ascii="Times New Roman" w:hAnsi="Times New Roman" w:eastAsia="Times New Roman"/>
                <w:b w:val="0"/>
                <w:sz w:val="19"/>
              </w:rPr>
              <w:t>Enroll → continue a course → open outline and lesson/material → complete lesson or submit quiz/file/practice → review permitted results and notifications.</w:t>
            </w:r>
          </w:p>
        </w:tc>
      </w:tr>
      <w:tr>
        <w:tc>
          <w:tcPr>
            <w:tcW w:type="dxa" w:w="4701"/>
            <w:vAlign w:val="top"/>
          </w:tcPr>
          <w:p>
            <w:pPr>
              <w:spacing w:before="0" w:after="40" w:line="240" w:lineRule="auto"/>
            </w:pPr>
            <w:r/>
            <w:r>
              <w:rPr>
                <w:rFonts w:ascii="Times New Roman" w:hAnsi="Times New Roman" w:eastAsia="Times New Roman"/>
                <w:b w:val="0"/>
                <w:sz w:val="19"/>
              </w:rPr>
              <w:t>Instructor</w:t>
            </w:r>
          </w:p>
        </w:tc>
        <w:tc>
          <w:tcPr>
            <w:tcW w:type="dxa" w:w="4701"/>
            <w:vAlign w:val="top"/>
          </w:tcPr>
          <w:p>
            <w:pPr>
              <w:spacing w:before="0" w:after="40" w:line="240" w:lineRule="auto"/>
            </w:pPr>
            <w:r/>
            <w:r>
              <w:rPr>
                <w:rFonts w:ascii="Times New Roman" w:hAnsi="Times New Roman" w:eastAsia="Times New Roman"/>
                <w:b w:val="0"/>
                <w:sz w:val="19"/>
              </w:rPr>
              <w:t>Create/edit/publish own course → add modules, lessons and assignments → review learner progress/submissions → grade or send course notice → review analytics and optionally send a reminder.</w:t>
            </w:r>
          </w:p>
        </w:tc>
      </w:tr>
      <w:tr>
        <w:tc>
          <w:tcPr>
            <w:tcW w:type="dxa" w:w="4701"/>
            <w:vAlign w:val="top"/>
          </w:tcPr>
          <w:p>
            <w:pPr>
              <w:spacing w:before="0" w:after="40" w:line="240" w:lineRule="auto"/>
            </w:pPr>
            <w:r/>
            <w:r>
              <w:rPr>
                <w:rFonts w:ascii="Times New Roman" w:hAnsi="Times New Roman" w:eastAsia="Times New Roman"/>
                <w:b w:val="0"/>
                <w:sz w:val="19"/>
              </w:rPr>
              <w:t>Administrator</w:t>
            </w:r>
          </w:p>
        </w:tc>
        <w:tc>
          <w:tcPr>
            <w:tcW w:type="dxa" w:w="4701"/>
            <w:vAlign w:val="top"/>
          </w:tcPr>
          <w:p>
            <w:pPr>
              <w:spacing w:before="0" w:after="40" w:line="240" w:lineRule="auto"/>
            </w:pPr>
            <w:r/>
            <w:r>
              <w:rPr>
                <w:rFonts w:ascii="Times New Roman" w:hAnsi="Times New Roman" w:eastAsia="Times New Roman"/>
                <w:b w:val="0"/>
                <w:sz w:val="19"/>
              </w:rPr>
              <w:t>Review dashboard → search/manage accounts and courses → process reports → inspect admin activity logs.</w:t>
            </w:r>
          </w:p>
        </w:tc>
      </w:tr>
    </w:tbl>
    <w:p>
      <w:pPr>
        <w:spacing w:after="20"/>
      </w:pPr>
    </w:p>
    <w:p>
      <w:pPr>
        <w:spacing w:after="80" w:line="240" w:lineRule="auto"/>
      </w:pPr>
      <w:r>
        <w:rPr>
          <w:rFonts w:ascii="Times New Roman" w:hAnsi="Times New Roman" w:eastAsia="Times New Roman"/>
          <w:b/>
          <w:sz w:val="22"/>
          <w:highlight w:val="yellow"/>
        </w:rPr>
        <w:t>DEMO EVIDENCE—UI/UX: Record separately: (1) learner outline and dedicated lesson/activity page; (2) instructor course tabs; (3) admin dashboard. Show the role, route and the specific navigation/layout behavior. Add one video link per flow and blur personal data.</w:t>
      </w:r>
    </w:p>
    <w:p>
      <w:pPr>
        <w:spacing w:after="60" w:line="240" w:lineRule="auto"/>
      </w:pPr>
      <w:r>
        <w:rPr>
          <w:rFonts w:ascii="Times New Roman" w:hAnsi="Times New Roman" w:eastAsia="Times New Roman"/>
          <w:sz w:val="22"/>
        </w:rPr>
        <w:t>Architecture. The browser runs a React/Vite/Tailwind single-page application. Its API client sends JWT-authenticated requests to Django 5 and Django REST Framework. Django applies role/ownership rules and reads/writes PostgreSQL relational records; media files use local storage in the current demo setup. Docker Compose provides the local backend/database environment. Render services are configured separately; local media is ephemeral there unless persistent/object storage is added.</w:t>
      </w:r>
    </w:p>
    <w:tbl>
      <w:tblPr>
        <w:tblStyle w:val="TableGrid"/>
        <w:tblW w:type="auto" w:w="0"/>
        <w:tblLayout w:type="autofit"/>
        <w:tblLook w:firstColumn="1" w:firstRow="1" w:lastColumn="0" w:lastRow="0" w:noHBand="0" w:noVBand="1" w:val="04A0"/>
      </w:tblPr>
      <w:tblGrid>
        <w:gridCol w:w="4701"/>
        <w:gridCol w:w="4701"/>
      </w:tblGrid>
      <w:tr>
        <w:tc>
          <w:tcPr>
            <w:tcW w:type="dxa" w:w="4701"/>
            <w:vAlign w:val="top"/>
            <w:shd w:fill="D9EAF7"/>
          </w:tcPr>
          <w:p>
            <w:pPr>
              <w:spacing w:before="0" w:after="40" w:line="240" w:lineRule="auto"/>
            </w:pPr>
            <w:r/>
            <w:r>
              <w:rPr>
                <w:rFonts w:ascii="Times New Roman" w:hAnsi="Times New Roman" w:eastAsia="Times New Roman"/>
                <w:b/>
                <w:sz w:val="19"/>
              </w:rPr>
              <w:t>Data entities</w:t>
            </w:r>
          </w:p>
        </w:tc>
        <w:tc>
          <w:tcPr>
            <w:tcW w:type="dxa" w:w="4701"/>
            <w:vAlign w:val="top"/>
            <w:shd w:fill="D9EAF7"/>
          </w:tcPr>
          <w:p>
            <w:pPr>
              <w:spacing w:before="0" w:after="40" w:line="240" w:lineRule="auto"/>
            </w:pPr>
            <w:r/>
            <w:r>
              <w:rPr>
                <w:rFonts w:ascii="Times New Roman" w:hAnsi="Times New Roman" w:eastAsia="Times New Roman"/>
                <w:b/>
                <w:sz w:val="19"/>
              </w:rPr>
              <w:t>Responsibility in the current system</w:t>
            </w:r>
          </w:p>
        </w:tc>
      </w:tr>
      <w:tr>
        <w:tc>
          <w:tcPr>
            <w:tcW w:type="dxa" w:w="4701"/>
            <w:vAlign w:val="top"/>
          </w:tcPr>
          <w:p>
            <w:pPr>
              <w:spacing w:before="0" w:after="40" w:line="240" w:lineRule="auto"/>
            </w:pPr>
            <w:r/>
            <w:r>
              <w:rPr>
                <w:rFonts w:ascii="Times New Roman" w:hAnsi="Times New Roman" w:eastAsia="Times New Roman"/>
                <w:b w:val="0"/>
                <w:sz w:val="19"/>
              </w:rPr>
              <w:t>User, Course, Module, Lesson, Enrollment</w:t>
            </w:r>
          </w:p>
        </w:tc>
        <w:tc>
          <w:tcPr>
            <w:tcW w:type="dxa" w:w="4701"/>
            <w:vAlign w:val="top"/>
          </w:tcPr>
          <w:p>
            <w:pPr>
              <w:spacing w:before="0" w:after="40" w:line="240" w:lineRule="auto"/>
            </w:pPr>
            <w:r/>
            <w:r>
              <w:rPr>
                <w:rFonts w:ascii="Times New Roman" w:hAnsi="Times New Roman" w:eastAsia="Times New Roman"/>
                <w:b w:val="0"/>
                <w:sz w:val="19"/>
              </w:rPr>
              <w:t>Role/account, course ownership, outline, publication and enrollment access.</w:t>
            </w:r>
          </w:p>
        </w:tc>
      </w:tr>
      <w:tr>
        <w:tc>
          <w:tcPr>
            <w:tcW w:type="dxa" w:w="4701"/>
            <w:vAlign w:val="top"/>
          </w:tcPr>
          <w:p>
            <w:pPr>
              <w:spacing w:before="0" w:after="40" w:line="240" w:lineRule="auto"/>
            </w:pPr>
            <w:r/>
            <w:r>
              <w:rPr>
                <w:rFonts w:ascii="Times New Roman" w:hAnsi="Times New Roman" w:eastAsia="Times New Roman"/>
                <w:b w:val="0"/>
                <w:sz w:val="19"/>
              </w:rPr>
              <w:t>LessonProgress, LearningEvent</w:t>
            </w:r>
          </w:p>
        </w:tc>
        <w:tc>
          <w:tcPr>
            <w:tcW w:type="dxa" w:w="4701"/>
            <w:vAlign w:val="top"/>
          </w:tcPr>
          <w:p>
            <w:pPr>
              <w:spacing w:before="0" w:after="40" w:line="240" w:lineRule="auto"/>
            </w:pPr>
            <w:r/>
            <w:r>
              <w:rPr>
                <w:rFonts w:ascii="Times New Roman" w:hAnsi="Times New Roman" w:eastAsia="Times New Roman"/>
                <w:b w:val="0"/>
                <w:sz w:val="19"/>
              </w:rPr>
              <w:t>Current lesson state/resume position and timestamped learning events used by progress views.</w:t>
            </w:r>
          </w:p>
        </w:tc>
      </w:tr>
      <w:tr>
        <w:tc>
          <w:tcPr>
            <w:tcW w:type="dxa" w:w="4701"/>
            <w:vAlign w:val="top"/>
          </w:tcPr>
          <w:p>
            <w:pPr>
              <w:spacing w:before="0" w:after="40" w:line="240" w:lineRule="auto"/>
            </w:pPr>
            <w:r/>
            <w:r>
              <w:rPr>
                <w:rFonts w:ascii="Times New Roman" w:hAnsi="Times New Roman" w:eastAsia="Times New Roman"/>
                <w:b w:val="0"/>
                <w:sz w:val="19"/>
              </w:rPr>
              <w:t>Assignment, Question, Submission</w:t>
            </w:r>
          </w:p>
        </w:tc>
        <w:tc>
          <w:tcPr>
            <w:tcW w:type="dxa" w:w="4701"/>
            <w:vAlign w:val="top"/>
          </w:tcPr>
          <w:p>
            <w:pPr>
              <w:spacing w:before="0" w:after="40" w:line="240" w:lineRule="auto"/>
            </w:pPr>
            <w:r/>
            <w:r>
              <w:rPr>
                <w:rFonts w:ascii="Times New Roman" w:hAnsi="Times New Roman" w:eastAsia="Times New Roman"/>
                <w:b w:val="0"/>
                <w:sz w:val="19"/>
              </w:rPr>
              <w:t>Quiz/file-assignment definitions, questions/attachments, learner answers/files, scores and feedback.</w:t>
            </w:r>
          </w:p>
        </w:tc>
      </w:tr>
      <w:tr>
        <w:tc>
          <w:tcPr>
            <w:tcW w:type="dxa" w:w="4701"/>
            <w:vAlign w:val="top"/>
          </w:tcPr>
          <w:p>
            <w:pPr>
              <w:spacing w:before="0" w:after="40" w:line="240" w:lineRule="auto"/>
            </w:pPr>
            <w:r/>
            <w:r>
              <w:rPr>
                <w:rFonts w:ascii="Times New Roman" w:hAnsi="Times New Roman" w:eastAsia="Times New Roman"/>
                <w:b w:val="0"/>
                <w:sz w:val="19"/>
              </w:rPr>
              <w:t>LearningActivity, LearningActivityItem, LearningActivityAttempt</w:t>
            </w:r>
          </w:p>
        </w:tc>
        <w:tc>
          <w:tcPr>
            <w:tcW w:type="dxa" w:w="4701"/>
            <w:vAlign w:val="top"/>
          </w:tcPr>
          <w:p>
            <w:pPr>
              <w:spacing w:before="0" w:after="40" w:line="240" w:lineRule="auto"/>
            </w:pPr>
            <w:r/>
            <w:r>
              <w:rPr>
                <w:rFonts w:ascii="Times New Roman" w:hAnsi="Times New Roman" w:eastAsia="Times New Roman"/>
                <w:b w:val="0"/>
                <w:sz w:val="19"/>
              </w:rPr>
              <w:t>Reusable activity type/items and learner responses, score or saved writing strokes.</w:t>
            </w:r>
          </w:p>
        </w:tc>
      </w:tr>
      <w:tr>
        <w:tc>
          <w:tcPr>
            <w:tcW w:type="dxa" w:w="4701"/>
            <w:vAlign w:val="top"/>
          </w:tcPr>
          <w:p>
            <w:pPr>
              <w:spacing w:before="0" w:after="40" w:line="240" w:lineRule="auto"/>
            </w:pPr>
            <w:r/>
            <w:r>
              <w:rPr>
                <w:rFonts w:ascii="Times New Roman" w:hAnsi="Times New Roman" w:eastAsia="Times New Roman"/>
                <w:b w:val="0"/>
                <w:sz w:val="19"/>
              </w:rPr>
              <w:t>Intervention, Notification, Report, AdminLog</w:t>
            </w:r>
          </w:p>
        </w:tc>
        <w:tc>
          <w:tcPr>
            <w:tcW w:type="dxa" w:w="4701"/>
            <w:vAlign w:val="top"/>
          </w:tcPr>
          <w:p>
            <w:pPr>
              <w:spacing w:before="0" w:after="40" w:line="240" w:lineRule="auto"/>
            </w:pPr>
            <w:r/>
            <w:r>
              <w:rPr>
                <w:rFonts w:ascii="Times New Roman" w:hAnsi="Times New Roman" w:eastAsia="Times New Roman"/>
                <w:b w:val="0"/>
                <w:sz w:val="19"/>
              </w:rPr>
              <w:t>Instructor reminder history, course-linked messages, user reports and administrative actions.</w:t>
            </w:r>
          </w:p>
        </w:tc>
      </w:tr>
    </w:tbl>
    <w:p>
      <w:pPr>
        <w:spacing w:after="20"/>
      </w:pPr>
    </w:p>
    <w:p>
      <w:pPr>
        <w:spacing w:after="60" w:line="240" w:lineRule="auto"/>
      </w:pPr>
      <w:r>
        <w:rPr>
          <w:rFonts w:ascii="Times New Roman" w:hAnsi="Times New Roman" w:eastAsia="Times New Roman"/>
          <w:sz w:val="22"/>
        </w:rPr>
        <w:t>Principal APIs (relative to /api/auth/): GET /courses/{course_id}/analytics/ and POST /courses/{course_id}/analytics/intervene/; GET/POST /courses/{course_id}/activities/; GET/PATCH /activities/{activity_id}/; POST /activities/{activity_id}/attempts/. Core LMS routes cover auth/profile, course/module/lesson management, enrollment/progress, assignment submission, grading, notifications, reports and admin operations. Sensitive operations require authentication and server-side permission checks.</w:t>
      </w:r>
    </w:p>
    <w:p>
      <w:pPr>
        <w:spacing w:after="80" w:line="240" w:lineRule="auto"/>
      </w:pPr>
      <w:r>
        <w:rPr>
          <w:rFonts w:ascii="Times New Roman" w:hAnsi="Times New Roman" w:eastAsia="Times New Roman"/>
          <w:b/>
          <w:sz w:val="22"/>
          <w:highlight w:val="yellow"/>
        </w:rPr>
        <w:t>DEMO EVIDENCE—ARCHITECTURE: Add a simple diagram or screenshot of the frontend → API → PostgreSQL flow. Redact host credentials and tokens. Caption the API base path and identify which data is relational versus local media.</w:t>
      </w:r>
    </w:p>
    <w:p>
      <w:pPr>
        <w:pStyle w:val="Heading1"/>
        <w:keepNext/>
        <w:spacing w:before="160" w:after="80"/>
      </w:pPr>
      <w:r>
        <w:rPr>
          <w:rFonts w:ascii="Arial" w:hAnsi="Arial" w:eastAsia="Arial"/>
          <w:b/>
          <w:sz w:val="24"/>
        </w:rPr>
        <w:t>3. Completed web functionality, runnable evidence and integration</w:t>
      </w:r>
    </w:p>
    <w:p>
      <w:pPr>
        <w:spacing w:after="60" w:line="240" w:lineRule="auto"/>
      </w:pPr>
      <w:r>
        <w:rPr>
          <w:rFonts w:ascii="Times New Roman" w:hAnsi="Times New Roman" w:eastAsia="Times New Roman"/>
          <w:sz w:val="22"/>
        </w:rPr>
        <w:t>The following inventory reflects the checked items in LMS_FEATURE_CHECKLIST.md and the current implementation. A checked application test is not a substitute for the requested recording: each yellow instruction identifies a separate demo clip that the team should capture. Items explicitly marked pending or not manually confirmed remain qualified.</w:t>
      </w:r>
    </w:p>
    <w:p>
      <w:pPr>
        <w:pStyle w:val="Heading2"/>
        <w:keepNext/>
        <w:spacing w:before="100" w:after="40"/>
      </w:pPr>
      <w:r>
        <w:rPr>
          <w:rFonts w:ascii="Arial" w:hAnsi="Arial" w:eastAsia="Arial"/>
          <w:b/>
          <w:sz w:val="22"/>
        </w:rPr>
        <w:t>3.1 Visitor access, account and authentication</w:t>
      </w:r>
    </w:p>
    <w:p>
      <w:pPr>
        <w:spacing w:after="60" w:line="240" w:lineRule="auto"/>
      </w:pPr>
      <w:r>
        <w:rPr>
          <w:rFonts w:ascii="Times New Roman" w:hAnsi="Times New Roman" w:eastAsia="Times New Roman"/>
          <w:sz w:val="22"/>
        </w:rPr>
        <w:t>The public catalog shows published courses and supports partial-title and description search, newest/oldest and A–Z/Z–A sorting, and pagination. Direct access to an unpublished course is restricted. Account flows include learner/instructor registration with email OTP, login/logout, session restoration after refresh, role-protected routes, OTP resend limits, password reset and password-strength validation (minimum 10 characters). Google sign-in is available when its OAuth client is configured.</w:t>
      </w:r>
    </w:p>
    <w:p>
      <w:pPr>
        <w:spacing w:after="80" w:line="240" w:lineRule="auto"/>
      </w:pPr>
      <w:r>
        <w:rPr>
          <w:rFonts w:ascii="Times New Roman" w:hAnsi="Times New Roman" w:eastAsia="Times New Roman"/>
          <w:b/>
          <w:sz w:val="22"/>
          <w:highlight w:val="yellow"/>
        </w:rPr>
        <w:t>DEMO 01—CATALOG: Record published-only behavior, search by title and description, clear search, both sort directions and pagination. Include a separate attempt to open a draft as a visitor and show that its content is not exposed.</w:t>
      </w:r>
    </w:p>
    <w:p>
      <w:pPr>
        <w:spacing w:after="80" w:line="240" w:lineRule="auto"/>
      </w:pPr>
      <w:r>
        <w:rPr>
          <w:rFonts w:ascii="Times New Roman" w:hAnsi="Times New Roman" w:eastAsia="Times New Roman"/>
          <w:b/>
          <w:sz w:val="22"/>
          <w:highlight w:val="yellow"/>
        </w:rPr>
        <w:t>DEMO 02—AUTHENTICATION: Record registration/OTP if email is configured, wrong-password rejection, successful sign-in, refresh-session restoration and logout. Use a demo account; never show the password or OTP in the video.</w:t>
      </w:r>
    </w:p>
    <w:p>
      <w:pPr>
        <w:spacing w:after="80" w:line="240" w:lineRule="auto"/>
      </w:pPr>
      <w:r>
        <w:rPr>
          <w:rFonts w:ascii="Times New Roman" w:hAnsi="Times New Roman" w:eastAsia="Times New Roman"/>
          <w:b/>
          <w:sz w:val="22"/>
          <w:highlight w:val="yellow"/>
        </w:rPr>
        <w:t>DEMO 03—ACCOUNT RECOVERY AND ROLE ACCESS: Record a weak-password rejection and valid password reset/change, then show learner/instructor/admin access boundaries. Record Google sign-in only if OAuth is configured in the demo environment.</w:t>
      </w:r>
    </w:p>
    <w:p>
      <w:pPr>
        <w:pStyle w:val="Heading2"/>
        <w:keepNext/>
        <w:spacing w:before="100" w:after="40"/>
      </w:pPr>
      <w:r>
        <w:rPr>
          <w:rFonts w:ascii="Arial" w:hAnsi="Arial" w:eastAsia="Arial"/>
          <w:b/>
          <w:sz w:val="22"/>
        </w:rPr>
        <w:t>3.2 Learner course discovery, enrollment and lesson study</w:t>
      </w:r>
    </w:p>
    <w:p>
      <w:pPr>
        <w:spacing w:after="60" w:line="240" w:lineRule="auto"/>
      </w:pPr>
      <w:r>
        <w:rPr>
          <w:rFonts w:ascii="Times New Roman" w:hAnsi="Times New Roman" w:eastAsia="Times New Roman"/>
          <w:sz w:val="22"/>
        </w:rPr>
        <w:t>Learners can search their enrolled courses, continue learning, enroll in a published course without duplicate enrollment, and leave with a confirmation step. The outline orders modules and lessons. Supported lesson paths include text, video and slide/PDF/document material; multi-page lesson content can restore the saved page, and video progress can restore the saved position when supported by the player. Learners can mark lessons complete and see progress restored after refresh. Lesson comments and comment reports are available. Unauthorized users cannot access enrolled-only content or write progress. API and build checks exist for paged slide/document content, but the checklist still requests a manual browser check that the embedded document opens and navigates correctly.</w:t>
      </w:r>
    </w:p>
    <w:p>
      <w:pPr>
        <w:spacing w:after="80" w:line="240" w:lineRule="auto"/>
      </w:pPr>
      <w:r>
        <w:rPr>
          <w:rFonts w:ascii="Times New Roman" w:hAnsi="Times New Roman" w:eastAsia="Times New Roman"/>
          <w:b/>
          <w:sz w:val="22"/>
          <w:highlight w:val="yellow"/>
        </w:rPr>
        <w:t>DEMO 04—ENROLLMENT AND COURSE LIST: Record learner search, continue-learning, enroll in a published course, duplicate-enrollment behavior, leave-course confirmation and canceled leave. Show the resulting course list.</w:t>
      </w:r>
    </w:p>
    <w:p>
      <w:pPr>
        <w:spacing w:after="80" w:line="240" w:lineRule="auto"/>
      </w:pPr>
      <w:r>
        <w:rPr>
          <w:rFonts w:ascii="Times New Roman" w:hAnsi="Times New Roman" w:eastAsia="Times New Roman"/>
          <w:b/>
          <w:sz w:val="22"/>
          <w:highlight w:val="yellow"/>
        </w:rPr>
        <w:t>DEMO 05—LESSON AND PROGRESS: Record opening text/video/PDF-slide material, changing document page, marking a lesson complete, refreshing and restoring progress. If demonstrating video resume, show the saved timestamp before and after returning.</w:t>
      </w:r>
    </w:p>
    <w:p>
      <w:pPr>
        <w:spacing w:after="80" w:line="240" w:lineRule="auto"/>
      </w:pPr>
      <w:r>
        <w:rPr>
          <w:rFonts w:ascii="Times New Roman" w:hAnsi="Times New Roman" w:eastAsia="Times New Roman"/>
          <w:b/>
          <w:sz w:val="22"/>
          <w:highlight w:val="yellow"/>
        </w:rPr>
        <w:t>DEMO 06—COMMENTS: Record adding a lesson comment and reporting a comment; show validation when the report reason is empty. Use non-sensitive test content.</w:t>
      </w:r>
    </w:p>
    <w:p>
      <w:pPr>
        <w:pStyle w:val="Heading2"/>
        <w:keepNext/>
        <w:spacing w:before="100" w:after="40"/>
      </w:pPr>
      <w:r>
        <w:rPr>
          <w:rFonts w:ascii="Arial" w:hAnsi="Arial" w:eastAsia="Arial"/>
          <w:b/>
          <w:sz w:val="22"/>
        </w:rPr>
        <w:t>3.3 Learner assessments and submissions</w:t>
      </w:r>
    </w:p>
    <w:p>
      <w:pPr>
        <w:spacing w:after="60" w:line="240" w:lineRule="auto"/>
      </w:pPr>
      <w:r>
        <w:rPr>
          <w:rFonts w:ascii="Times New Roman" w:hAnsi="Times New Roman" w:eastAsia="Times New Roman"/>
          <w:sz w:val="22"/>
        </w:rPr>
        <w:t>The learner assessment area lists course assignments and quiz history. Quiz flows show questions/options, single-choice selection, a countdown, confirmation when unanswered items remain, manual submission, automatic submission at timeout, score/correct-count feedback, and deadline enforcement. File assignments show the selected filename, accept a valid upload, retain the selection after an upload error for retry, enforce the deadline on both client and server, and prevent cross-learner access to another learner's results. The checklist marks the full submission-history display of latest file/time/grade/feedback as pending and that state must not be presented as complete.</w:t>
      </w:r>
    </w:p>
    <w:p>
      <w:pPr>
        <w:spacing w:after="80" w:line="240" w:lineRule="auto"/>
      </w:pPr>
      <w:r>
        <w:rPr>
          <w:rFonts w:ascii="Times New Roman" w:hAnsi="Times New Roman" w:eastAsia="Times New Roman"/>
          <w:b/>
          <w:sz w:val="22"/>
          <w:highlight w:val="yellow"/>
        </w:rPr>
        <w:t>DEMO 07—QUIZ ATTEMPT: Record opening the quiz, selecting answers, timer, unanswered confirmation, submission and score/history update. If practical, use a test quiz to demonstrate timeout auto-submit and an expired deadline.</w:t>
      </w:r>
    </w:p>
    <w:p>
      <w:pPr>
        <w:spacing w:after="80" w:line="240" w:lineRule="auto"/>
      </w:pPr>
      <w:r>
        <w:rPr>
          <w:rFonts w:ascii="Times New Roman" w:hAnsi="Times New Roman" w:eastAsia="Times New Roman"/>
          <w:b/>
          <w:sz w:val="22"/>
          <w:highlight w:val="yellow"/>
        </w:rPr>
        <w:t>DEMO 08—FILE SUBMISSION: Record choosing a file, visible filename/size, successful upload and an upload-error/retry path. Show the expired-deadline case is blocked. Do not show personal submissions. The full learner history screen is not confirmed; label it as pending if it appears.</w:t>
      </w:r>
    </w:p>
    <w:p>
      <w:pPr>
        <w:pStyle w:val="Heading2"/>
        <w:keepNext/>
        <w:spacing w:before="100" w:after="40"/>
      </w:pPr>
      <w:r>
        <w:rPr>
          <w:rFonts w:ascii="Arial" w:hAnsi="Arial" w:eastAsia="Arial"/>
          <w:b/>
          <w:sz w:val="22"/>
        </w:rPr>
        <w:t>3.4 Instructor course and content management</w:t>
      </w:r>
    </w:p>
    <w:p>
      <w:pPr>
        <w:spacing w:after="60" w:line="240" w:lineRule="auto"/>
      </w:pPr>
      <w:r>
        <w:rPr>
          <w:rFonts w:ascii="Times New Roman" w:hAnsi="Times New Roman" w:eastAsia="Times New Roman"/>
          <w:sz w:val="22"/>
        </w:rPr>
        <w:t>Instructors can create courses, validate required title/description, select prerequisite courses using an added multi-select checkbox picker, save drafts and publish courses to the catalog. They can create, reorder, edit and delete modules; create/edit/delete text, video and file/slide lessons; attach multi-page lesson content; and review learner enrollment/progress. Upload size limits are checked. Course announcements and lesson/course updates can notify enrolled learners, with navigation targets leading to the relevant course content. Instructor course lists/details are restricted to the owner and administrators. The checklist says prerequisite multi-select and browser opening of slide documents still need manual confirmation.</w:t>
      </w:r>
    </w:p>
    <w:p>
      <w:pPr>
        <w:spacing w:after="80" w:line="240" w:lineRule="auto"/>
      </w:pPr>
      <w:r>
        <w:rPr>
          <w:rFonts w:ascii="Times New Roman" w:hAnsi="Times New Roman" w:eastAsia="Times New Roman"/>
          <w:b/>
          <w:sz w:val="22"/>
          <w:highlight w:val="yellow"/>
        </w:rPr>
        <w:t>DEMO 09—COURSE AUTHORING: Record creating a course, multi-selecting then removing prerequisites, saving a draft, editing and publishing it. Show the published course in the public catalog and the draft hidden from a learner.</w:t>
      </w:r>
    </w:p>
    <w:p>
      <w:pPr>
        <w:spacing w:after="80" w:line="240" w:lineRule="auto"/>
      </w:pPr>
      <w:r>
        <w:rPr>
          <w:rFonts w:ascii="Times New Roman" w:hAnsi="Times New Roman" w:eastAsia="Times New Roman"/>
          <w:b/>
          <w:sz w:val="22"/>
          <w:highlight w:val="yellow"/>
        </w:rPr>
        <w:t>DEMO 10—MODULES, LESSONS AND SLIDES: Record creating/reordering a module, adding text/video/PDF or slide material, editing and deleting a lesson, and showing an oversized upload is rejected. Include the learner view of the material and page navigation.</w:t>
      </w:r>
    </w:p>
    <w:p>
      <w:pPr>
        <w:spacing w:after="80" w:line="240" w:lineRule="auto"/>
      </w:pPr>
      <w:r>
        <w:rPr>
          <w:rFonts w:ascii="Times New Roman" w:hAnsi="Times New Roman" w:eastAsia="Times New Roman"/>
          <w:b/>
          <w:sz w:val="22"/>
          <w:highlight w:val="yellow"/>
        </w:rPr>
        <w:t>DEMO 11—LEARNER PROGRESS AND COURSE NOTICE: Record opening the instructor learner-progress tab, sending a course announcement and showing the learner notification identifies the course and navigates to the intended destination.</w:t>
      </w:r>
    </w:p>
    <w:p>
      <w:pPr>
        <w:pStyle w:val="Heading2"/>
        <w:keepNext/>
        <w:spacing w:before="100" w:after="40"/>
      </w:pPr>
      <w:r>
        <w:rPr>
          <w:rFonts w:ascii="Arial" w:hAnsi="Arial" w:eastAsia="Arial"/>
          <w:b/>
          <w:sz w:val="22"/>
        </w:rPr>
        <w:t>3.5 Instructor assessments and grading</w:t>
      </w:r>
    </w:p>
    <w:p>
      <w:pPr>
        <w:spacing w:after="60" w:line="240" w:lineRule="auto"/>
      </w:pPr>
      <w:r>
        <w:rPr>
          <w:rFonts w:ascii="Times New Roman" w:hAnsi="Times New Roman" w:eastAsia="Times New Roman"/>
          <w:sz w:val="22"/>
        </w:rPr>
        <w:t>Instructors can create a quiz with duration and dynamic questions, validate that questions/options and correct answers are complete, and create a file-submission assignment with a deadline. Assignment drafts/scheduled opening, UTC+7 deadline quick-picks, assignment prompt files and question attachments are supported by the current implementation. The grading view distinguishes auto-scored quiz attempts from file work requiring instructor review. Quiz results show learner, time and score; file submissions show learner and submission time, allow file download, accept a 0–10 grade and feedback, and notify the learner after grading. Invalid scores are rejected. Quiz edits recalculate existing submissions against the current question set. The current grading redesign separates quiz response matrices from file submission review.</w:t>
      </w:r>
    </w:p>
    <w:p>
      <w:pPr>
        <w:spacing w:after="80" w:line="240" w:lineRule="auto"/>
      </w:pPr>
      <w:r>
        <w:rPr>
          <w:rFonts w:ascii="Times New Roman" w:hAnsi="Times New Roman" w:eastAsia="Times New Roman"/>
          <w:b/>
          <w:sz w:val="22"/>
          <w:highlight w:val="yellow"/>
        </w:rPr>
        <w:t>DEMO 12—CREATE ASSESSMENTS: Record creating a multi-question quiz and a file assignment with deadline; show validation for missing questions or invalid correct options.</w:t>
      </w:r>
    </w:p>
    <w:p>
      <w:pPr>
        <w:spacing w:after="80" w:line="240" w:lineRule="auto"/>
      </w:pPr>
      <w:r>
        <w:rPr>
          <w:rFonts w:ascii="Times New Roman" w:hAnsi="Times New Roman" w:eastAsia="Times New Roman"/>
          <w:b/>
          <w:sz w:val="22"/>
          <w:highlight w:val="yellow"/>
        </w:rPr>
        <w:t>DEMO 13—GRADE QUIZ AND FILE: Record a learner quiz result in the question/learner matrix, then open a file submission, download it, enter a valid grade/feedback and show the learner's grading notification. Include one invalid score rejection.</w:t>
      </w:r>
    </w:p>
    <w:p>
      <w:pPr>
        <w:pStyle w:val="Heading2"/>
        <w:keepNext/>
        <w:spacing w:before="100" w:after="40"/>
      </w:pPr>
      <w:r>
        <w:rPr>
          <w:rFonts w:ascii="Arial" w:hAnsi="Arial" w:eastAsia="Arial"/>
          <w:b/>
          <w:sz w:val="22"/>
        </w:rPr>
        <w:t>3.6 Administration and access control</w:t>
      </w:r>
    </w:p>
    <w:p>
      <w:pPr>
        <w:spacing w:after="60" w:line="240" w:lineRule="auto"/>
      </w:pPr>
      <w:r>
        <w:rPr>
          <w:rFonts w:ascii="Times New Roman" w:hAnsi="Times New Roman" w:eastAsia="Times New Roman"/>
          <w:sz w:val="22"/>
        </w:rPr>
        <w:t>Administrators have dashboard statistics; user search by name/email and role filters; account lock/unlock, deletion of another account and audit logging; course search, publication changes and deletion with confirmation; report review/status changes; and admin activity logs with actor/time. Non-admin API calls are denied. A regression test prevents an administrator from locking/unlocking their own account or deleting their own active account. The admin demo should show the self-action being blocked without actually deleting or disabling the live administrator. The interface hides course IDs from normal lists/forms/profile views.</w:t>
      </w:r>
    </w:p>
    <w:p>
      <w:pPr>
        <w:spacing w:after="80" w:line="240" w:lineRule="auto"/>
      </w:pPr>
      <w:r>
        <w:rPr>
          <w:rFonts w:ascii="Times New Roman" w:hAnsi="Times New Roman" w:eastAsia="Times New Roman"/>
          <w:b/>
          <w:sz w:val="22"/>
          <w:highlight w:val="yellow"/>
        </w:rPr>
        <w:t>DEMO 14—ADMIN: Record dashboard, user search/filter, lock/unlock another account, show the current admin cannot lock themselves, then find a course, change publish state and inspect a report/admin log. Use reversible demo data.</w:t>
      </w:r>
    </w:p>
    <w:p>
      <w:pPr>
        <w:spacing w:after="80" w:line="240" w:lineRule="auto"/>
      </w:pPr>
      <w:r>
        <w:rPr>
          <w:rFonts w:ascii="Times New Roman" w:hAnsi="Times New Roman" w:eastAsia="Times New Roman"/>
          <w:b/>
          <w:sz w:val="22"/>
          <w:highlight w:val="yellow"/>
        </w:rPr>
        <w:t>DEMO 15—COURSE OWNERSHIP: Sign in as Instructor A, then Instructor B. Show that B cannot open/manage A's draft, add content or grade its submissions; confirm the learner outline also omits unpublished material.</w:t>
      </w:r>
    </w:p>
    <w:p>
      <w:pPr>
        <w:spacing w:after="60" w:line="240" w:lineRule="auto"/>
      </w:pPr>
      <w:r>
        <w:rPr>
          <w:rFonts w:ascii="Times New Roman" w:hAnsi="Times New Roman" w:eastAsia="Times New Roman"/>
          <w:sz w:val="22"/>
        </w:rPr>
        <w:t>Integration evidence: these role flows share the same course/module records, authenticated API client, database and notification system. The backend contains regression tests for course-owner boundaries and hidden drafts. Record browser flows separately from unit/API-test evidence so the reviewer can distinguish what was exercised manually.</w:t>
      </w:r>
    </w:p>
    <w:p>
      <w:pPr>
        <w:pStyle w:val="Heading1"/>
        <w:keepNext/>
        <w:spacing w:before="160" w:after="80"/>
      </w:pPr>
      <w:r>
        <w:rPr>
          <w:rFonts w:ascii="Arial" w:hAnsi="Arial" w:eastAsia="Arial"/>
          <w:b/>
          <w:sz w:val="24"/>
        </w:rPr>
        <w:t>4. Advanced prototypes and initial results</w:t>
      </w:r>
    </w:p>
    <w:p>
      <w:pPr>
        <w:pStyle w:val="Heading2"/>
        <w:keepNext/>
        <w:spacing w:before="100" w:after="40"/>
      </w:pPr>
      <w:r>
        <w:rPr>
          <w:rFonts w:ascii="Arial" w:hAnsi="Arial" w:eastAsia="Arial"/>
          <w:b/>
          <w:sz w:val="22"/>
        </w:rPr>
        <w:t>4.1 Learning Analytics &amp; Early Warning</w:t>
      </w:r>
    </w:p>
    <w:p>
      <w:pPr>
        <w:spacing w:after="60" w:line="240" w:lineRule="auto"/>
      </w:pPr>
      <w:r>
        <w:rPr>
          <w:rFonts w:ascii="Times New Roman" w:hAnsi="Times New Roman" w:eastAsia="Times New Roman"/>
          <w:sz w:val="22"/>
        </w:rPr>
        <w:t>The analytics service combines current lesson progress, timestamped learning events, quiz submissions and short-activity attempts. The instructor dashboard presents enrollment/completion summaries, completion buckets, weekly progress/quiz trends, learner activity recency, quiz averages and explainable risk reasons. Only the course instructor and administrators may view the course analytics; an instructor can send a course-linked reminder when the rules identify a reason. A matching learner/course/action reminder is deduplicated for 24 hours.</w:t>
      </w:r>
    </w:p>
    <w:tbl>
      <w:tblPr>
        <w:tblStyle w:val="TableGrid"/>
        <w:tblW w:type="auto" w:w="0"/>
        <w:tblLayout w:type="autofit"/>
        <w:tblLook w:firstColumn="1" w:firstRow="1" w:lastColumn="0" w:lastRow="0" w:noHBand="0" w:noVBand="1" w:val="04A0"/>
      </w:tblPr>
      <w:tblGrid>
        <w:gridCol w:w="4701"/>
        <w:gridCol w:w="4701"/>
      </w:tblGrid>
      <w:tr>
        <w:tc>
          <w:tcPr>
            <w:tcW w:type="dxa" w:w="4701"/>
            <w:vAlign w:val="top"/>
            <w:shd w:fill="D9EAF7"/>
          </w:tcPr>
          <w:p>
            <w:pPr>
              <w:spacing w:before="0" w:after="40" w:line="240" w:lineRule="auto"/>
            </w:pPr>
            <w:r/>
            <w:r>
              <w:rPr>
                <w:rFonts w:ascii="Times New Roman" w:hAnsi="Times New Roman" w:eastAsia="Times New Roman"/>
                <w:b/>
                <w:sz w:val="19"/>
              </w:rPr>
              <w:t>Rule / displayed measure</w:t>
            </w:r>
          </w:p>
        </w:tc>
        <w:tc>
          <w:tcPr>
            <w:tcW w:type="dxa" w:w="4701"/>
            <w:vAlign w:val="top"/>
            <w:shd w:fill="D9EAF7"/>
          </w:tcPr>
          <w:p>
            <w:pPr>
              <w:spacing w:before="0" w:after="40" w:line="240" w:lineRule="auto"/>
            </w:pPr>
            <w:r/>
            <w:r>
              <w:rPr>
                <w:rFonts w:ascii="Times New Roman" w:hAnsi="Times New Roman" w:eastAsia="Times New Roman"/>
                <w:b/>
                <w:sz w:val="19"/>
              </w:rPr>
              <w:t>Current interpretation and qualification</w:t>
            </w:r>
          </w:p>
        </w:tc>
      </w:tr>
      <w:tr>
        <w:tc>
          <w:tcPr>
            <w:tcW w:type="dxa" w:w="4701"/>
            <w:vAlign w:val="top"/>
          </w:tcPr>
          <w:p>
            <w:pPr>
              <w:spacing w:before="0" w:after="40" w:line="240" w:lineRule="auto"/>
            </w:pPr>
            <w:r/>
            <w:r>
              <w:rPr>
                <w:rFonts w:ascii="Times New Roman" w:hAnsi="Times New Roman" w:eastAsia="Times New Roman"/>
                <w:b w:val="0"/>
                <w:sz w:val="19"/>
              </w:rPr>
              <w:t>Low completion</w:t>
            </w:r>
          </w:p>
        </w:tc>
        <w:tc>
          <w:tcPr>
            <w:tcW w:type="dxa" w:w="4701"/>
            <w:vAlign w:val="top"/>
          </w:tcPr>
          <w:p>
            <w:pPr>
              <w:spacing w:before="0" w:after="40" w:line="240" w:lineRule="auto"/>
            </w:pPr>
            <w:r/>
            <w:r>
              <w:rPr>
                <w:rFonts w:ascii="Times New Roman" w:hAnsi="Times New Roman" w:eastAsia="Times New Roman"/>
                <w:b w:val="0"/>
                <w:sz w:val="19"/>
              </w:rPr>
              <w:t>After at least 14 enrolled days, completion below 40% adds a low-completion reason.</w:t>
            </w:r>
          </w:p>
        </w:tc>
      </w:tr>
      <w:tr>
        <w:tc>
          <w:tcPr>
            <w:tcW w:type="dxa" w:w="4701"/>
            <w:vAlign w:val="top"/>
          </w:tcPr>
          <w:p>
            <w:pPr>
              <w:spacing w:before="0" w:after="40" w:line="240" w:lineRule="auto"/>
            </w:pPr>
            <w:r/>
            <w:r>
              <w:rPr>
                <w:rFonts w:ascii="Times New Roman" w:hAnsi="Times New Roman" w:eastAsia="Times New Roman"/>
                <w:b w:val="0"/>
                <w:sz w:val="19"/>
              </w:rPr>
              <w:t>Inactivity</w:t>
            </w:r>
          </w:p>
        </w:tc>
        <w:tc>
          <w:tcPr>
            <w:tcW w:type="dxa" w:w="4701"/>
            <w:vAlign w:val="top"/>
          </w:tcPr>
          <w:p>
            <w:pPr>
              <w:spacing w:before="0" w:after="40" w:line="240" w:lineRule="auto"/>
            </w:pPr>
            <w:r/>
            <w:r>
              <w:rPr>
                <w:rFonts w:ascii="Times New Roman" w:hAnsi="Times New Roman" w:eastAsia="Times New Roman"/>
                <w:b w:val="0"/>
                <w:sz w:val="19"/>
              </w:rPr>
              <w:t>At least 7 days without learning activity and completion below 80% adds an inactivity reason.</w:t>
            </w:r>
          </w:p>
        </w:tc>
      </w:tr>
      <w:tr>
        <w:tc>
          <w:tcPr>
            <w:tcW w:type="dxa" w:w="4701"/>
            <w:vAlign w:val="top"/>
          </w:tcPr>
          <w:p>
            <w:pPr>
              <w:spacing w:before="0" w:after="40" w:line="240" w:lineRule="auto"/>
            </w:pPr>
            <w:r/>
            <w:r>
              <w:rPr>
                <w:rFonts w:ascii="Times New Roman" w:hAnsi="Times New Roman" w:eastAsia="Times New Roman"/>
                <w:b w:val="0"/>
                <w:sz w:val="19"/>
              </w:rPr>
              <w:t>Repeated low quiz scores</w:t>
            </w:r>
          </w:p>
        </w:tc>
        <w:tc>
          <w:tcPr>
            <w:tcW w:type="dxa" w:w="4701"/>
            <w:vAlign w:val="top"/>
          </w:tcPr>
          <w:p>
            <w:pPr>
              <w:spacing w:before="0" w:after="40" w:line="240" w:lineRule="auto"/>
            </w:pPr>
            <w:r/>
            <w:r>
              <w:rPr>
                <w:rFonts w:ascii="Times New Roman" w:hAnsi="Times New Roman" w:eastAsia="Times New Roman"/>
                <w:b w:val="0"/>
                <w:sz w:val="19"/>
              </w:rPr>
              <w:t>Three consecutive latest quiz scores below 5/10 add a quiz-risk reason.</w:t>
            </w:r>
          </w:p>
        </w:tc>
      </w:tr>
      <w:tr>
        <w:tc>
          <w:tcPr>
            <w:tcW w:type="dxa" w:w="4701"/>
            <w:vAlign w:val="top"/>
          </w:tcPr>
          <w:p>
            <w:pPr>
              <w:spacing w:before="0" w:after="40" w:line="240" w:lineRule="auto"/>
            </w:pPr>
            <w:r/>
            <w:r>
              <w:rPr>
                <w:rFonts w:ascii="Times New Roman" w:hAnsi="Times New Roman" w:eastAsia="Times New Roman"/>
                <w:b w:val="0"/>
                <w:sz w:val="19"/>
              </w:rPr>
              <w:t>28-day pacing reference</w:t>
            </w:r>
          </w:p>
        </w:tc>
        <w:tc>
          <w:tcPr>
            <w:tcW w:type="dxa" w:w="4701"/>
            <w:vAlign w:val="top"/>
          </w:tcPr>
          <w:p>
            <w:pPr>
              <w:spacing w:before="0" w:after="40" w:line="240" w:lineRule="auto"/>
            </w:pPr>
            <w:r/>
            <w:r>
              <w:rPr>
                <w:rFonts w:ascii="Times New Roman" w:hAnsi="Times New Roman" w:eastAsia="Times New Roman"/>
                <w:b w:val="0"/>
                <w:sz w:val="19"/>
              </w:rPr>
              <w:t>A visualization baseline for comparison; not a trained model or individualized prediction.</w:t>
            </w:r>
          </w:p>
        </w:tc>
      </w:tr>
      <w:tr>
        <w:tc>
          <w:tcPr>
            <w:tcW w:type="dxa" w:w="4701"/>
            <w:vAlign w:val="top"/>
          </w:tcPr>
          <w:p>
            <w:pPr>
              <w:spacing w:before="0" w:after="40" w:line="240" w:lineRule="auto"/>
            </w:pPr>
            <w:r/>
            <w:r>
              <w:rPr>
                <w:rFonts w:ascii="Times New Roman" w:hAnsi="Times New Roman" w:eastAsia="Times New Roman"/>
                <w:b w:val="0"/>
                <w:sz w:val="19"/>
              </w:rPr>
              <w:t>Retention / accuracy</w:t>
            </w:r>
          </w:p>
        </w:tc>
        <w:tc>
          <w:tcPr>
            <w:tcW w:type="dxa" w:w="4701"/>
            <w:vAlign w:val="top"/>
          </w:tcPr>
          <w:p>
            <w:pPr>
              <w:spacing w:before="0" w:after="40" w:line="240" w:lineRule="auto"/>
            </w:pPr>
            <w:r/>
            <w:r>
              <w:rPr>
                <w:rFonts w:ascii="Times New Roman" w:hAnsi="Times New Roman" w:eastAsia="Times New Roman"/>
                <w:b w:val="0"/>
                <w:sz w:val="19"/>
              </w:rPr>
              <w:t>Vocabulary retention accuracy is not a separate validated metric; no real-world detection accuracy is claimed.</w:t>
            </w:r>
          </w:p>
        </w:tc>
      </w:tr>
    </w:tbl>
    <w:p>
      <w:pPr>
        <w:spacing w:after="20"/>
      </w:pPr>
    </w:p>
    <w:p>
      <w:pPr>
        <w:spacing w:after="60" w:line="240" w:lineRule="auto"/>
      </w:pPr>
      <w:r>
        <w:rPr>
          <w:rFonts w:ascii="Times New Roman" w:hAnsi="Times New Roman" w:eastAsia="Times New Roman"/>
          <w:sz w:val="22"/>
        </w:rPr>
        <w:t>Initial result: seed_analytics_demo creates a deterministic simulated cohort of 24 learners representing on-track, slow-progress, inactive and repeated low-quiz scenarios. The analytics tests check risk explanations, course permissions, weekly output and reminder deduplication. The group has previously confirmed the dashboard renders and shows warning data. This demonstrates rule behavior on designed cases, not predictive accuracy or improved learner retention.</w:t>
      </w:r>
    </w:p>
    <w:p>
      <w:pPr>
        <w:spacing w:after="80" w:line="240" w:lineRule="auto"/>
      </w:pPr>
      <w:r>
        <w:rPr>
          <w:rFonts w:ascii="Times New Roman" w:hAnsi="Times New Roman" w:eastAsia="Times New Roman"/>
          <w:b/>
          <w:sz w:val="22"/>
          <w:highlight w:val="yellow"/>
        </w:rPr>
        <w:t>DEMO 16—ANALYTICS DASHBOARD: Seed the 24-person cohort, open the instructor dashboard, point out cohort totals, weekly graph, risk counts and one learner reason; open the learner detail and send one reminder. Show that a repeated reminder is deduplicated. Add seed/test commands, date and result.</w:t>
      </w:r>
    </w:p>
    <w:p>
      <w:pPr>
        <w:spacing w:after="60" w:line="240" w:lineRule="auto"/>
      </w:pPr>
      <w:r>
        <w:rPr>
          <w:rFonts w:ascii="Times New Roman" w:hAnsi="Times New Roman" w:eastAsia="Times New Roman"/>
          <w:sz w:val="22"/>
        </w:rPr>
        <w:t>Proposal evaluation still needed: define the expected at-risk labels for the simulated cases, calculate detection measures such as precision/recall and false positives, time chart rendering on a stated dataset size, and run a structured instructor usability task. Record the scenario definitions and limitations; do not infer test accuracy from the fact that code paths pass.</w:t>
      </w:r>
    </w:p>
    <w:p>
      <w:pPr>
        <w:spacing w:after="80" w:line="240" w:lineRule="auto"/>
      </w:pPr>
      <w:r>
        <w:rPr>
          <w:rFonts w:ascii="Times New Roman" w:hAnsi="Times New Roman" w:eastAsia="Times New Roman"/>
          <w:b/>
          <w:sz w:val="22"/>
          <w:highlight w:val="yellow"/>
        </w:rPr>
        <w:t>DEMO 17—RULE VALIDATION: Provide a compact test/evaluation table listing each simulated case, expected risk label, actual rule output and pass/fail. If precision/recall or chart timing has not been measured, mark it “not yet measured” rather than inventing a value.</w:t>
      </w:r>
    </w:p>
    <w:p>
      <w:pPr>
        <w:pStyle w:val="Heading2"/>
        <w:keepNext/>
        <w:spacing w:before="100" w:after="40"/>
      </w:pPr>
      <w:r>
        <w:rPr>
          <w:rFonts w:ascii="Arial" w:hAnsi="Arial" w:eastAsia="Arial"/>
          <w:b/>
          <w:sz w:val="22"/>
        </w:rPr>
        <w:t>4.2 Reusable short-practice activities</w:t>
      </w:r>
    </w:p>
    <w:p>
      <w:pPr>
        <w:spacing w:after="60" w:line="240" w:lineRule="auto"/>
      </w:pPr>
      <w:r>
        <w:rPr>
          <w:rFonts w:ascii="Times New Roman" w:hAnsi="Times New Roman" w:eastAsia="Times New Roman"/>
          <w:sz w:val="22"/>
        </w:rPr>
        <w:t>An instructor creates or updates a course-level or module-level activity, chooses quiz, vocabulary or writing type, defines prompts/items and publishes it. Learners must be authenticated, enrolled and given access to a published activity. Learner responses omit quiz/vocabulary answer keys before submission. Quiz/vocabulary attempts are normalized, checked and scored out of 10; each attempt is stored. Writing strokes use bounded normalized coordinates and are stored for self-review. Invalid/incomplete responses and excessive stroke payloads are rejected. Learners can reopen and submit another attempt.</w:t>
      </w:r>
    </w:p>
    <w:p>
      <w:pPr>
        <w:spacing w:after="80" w:line="240" w:lineRule="auto"/>
      </w:pPr>
      <w:r>
        <w:rPr>
          <w:rFonts w:ascii="Times New Roman" w:hAnsi="Times New Roman" w:eastAsia="Times New Roman"/>
          <w:b/>
          <w:sz w:val="22"/>
          <w:highlight w:val="yellow"/>
        </w:rPr>
        <w:t>DEMO 18—INSTRUCTOR ACTIVITY AUTHORING: Create one quiz, one vocabulary and one writing activity; associate one with a module, leave one unpublished, publish another and show the optional learner notification.</w:t>
      </w:r>
    </w:p>
    <w:p>
      <w:pPr>
        <w:spacing w:after="80" w:line="240" w:lineRule="auto"/>
      </w:pPr>
      <w:r>
        <w:rPr>
          <w:rFonts w:ascii="Times New Roman" w:hAnsi="Times New Roman" w:eastAsia="Times New Roman"/>
          <w:b/>
          <w:sz w:val="22"/>
          <w:highlight w:val="yellow"/>
        </w:rPr>
        <w:t>DEMO 19—LEARNER QUIZ/VOCABULARY: As an enrolled learner, complete both activity types, submit all items and show the returned correctness/score and saved attempt. Reopen and repeat one activity to demonstrate another attempt.</w:t>
      </w:r>
    </w:p>
    <w:p>
      <w:pPr>
        <w:spacing w:after="80" w:line="240" w:lineRule="auto"/>
      </w:pPr>
      <w:r>
        <w:rPr>
          <w:rFonts w:ascii="Times New Roman" w:hAnsi="Times New Roman" w:eastAsia="Times New Roman"/>
          <w:b/>
          <w:sz w:val="22"/>
          <w:highlight w:val="yellow"/>
        </w:rPr>
        <w:t>DEMO 20—NON-LATIN WRITING: Show the reference character, draw with mouse or touch, clear/redraw and save. Show the saved-attempt confirmation. State on-screen or in the narration that the platform stores strokes but does not recognize or automatically grade the character.</w:t>
      </w:r>
    </w:p>
    <w:p>
      <w:pPr>
        <w:pStyle w:val="Heading1"/>
        <w:keepNext/>
        <w:spacing w:before="160" w:after="80"/>
      </w:pPr>
      <w:r>
        <w:rPr>
          <w:rFonts w:ascii="Arial" w:hAnsi="Arial" w:eastAsia="Arial"/>
          <w:b/>
          <w:sz w:val="24"/>
        </w:rPr>
        <w:t>5. Testing, security, trial deployment and technical issues</w:t>
      </w:r>
    </w:p>
    <w:tbl>
      <w:tblPr>
        <w:tblStyle w:val="TableGrid"/>
        <w:tblW w:type="auto" w:w="0"/>
        <w:tblLayout w:type="autofit"/>
        <w:tblLook w:firstColumn="1" w:firstRow="1" w:lastColumn="0" w:lastRow="0" w:noHBand="0" w:noVBand="1" w:val="04A0"/>
      </w:tblPr>
      <w:tblGrid>
        <w:gridCol w:w="3134"/>
        <w:gridCol w:w="3134"/>
        <w:gridCol w:w="3134"/>
      </w:tblGrid>
      <w:tr>
        <w:tc>
          <w:tcPr>
            <w:tcW w:type="dxa" w:w="3134"/>
            <w:vAlign w:val="top"/>
            <w:shd w:fill="D9EAF7"/>
          </w:tcPr>
          <w:p>
            <w:pPr>
              <w:spacing w:before="0" w:after="40" w:line="240" w:lineRule="auto"/>
            </w:pPr>
            <w:r/>
            <w:r>
              <w:rPr>
                <w:rFonts w:ascii="Times New Roman" w:hAnsi="Times New Roman" w:eastAsia="Times New Roman"/>
                <w:b/>
                <w:sz w:val="19"/>
              </w:rPr>
              <w:t>Evidence item</w:t>
            </w:r>
          </w:p>
        </w:tc>
        <w:tc>
          <w:tcPr>
            <w:tcW w:type="dxa" w:w="3134"/>
            <w:vAlign w:val="top"/>
            <w:shd w:fill="D9EAF7"/>
          </w:tcPr>
          <w:p>
            <w:pPr>
              <w:spacing w:before="0" w:after="40" w:line="240" w:lineRule="auto"/>
            </w:pPr>
            <w:r/>
            <w:r>
              <w:rPr>
                <w:rFonts w:ascii="Times New Roman" w:hAnsi="Times New Roman" w:eastAsia="Times New Roman"/>
                <w:b/>
                <w:sz w:val="19"/>
              </w:rPr>
              <w:t>Recorded result</w:t>
            </w:r>
          </w:p>
        </w:tc>
        <w:tc>
          <w:tcPr>
            <w:tcW w:type="dxa" w:w="3134"/>
            <w:vAlign w:val="top"/>
            <w:shd w:fill="D9EAF7"/>
          </w:tcPr>
          <w:p>
            <w:pPr>
              <w:spacing w:before="0" w:after="40" w:line="240" w:lineRule="auto"/>
            </w:pPr>
            <w:r/>
            <w:r>
              <w:rPr>
                <w:rFonts w:ascii="Times New Roman" w:hAnsi="Times New Roman" w:eastAsia="Times New Roman"/>
                <w:b/>
                <w:sz w:val="19"/>
              </w:rPr>
              <w:t>Interpretation</w:t>
            </w:r>
          </w:p>
        </w:tc>
      </w:tr>
      <w:tr>
        <w:tc>
          <w:tcPr>
            <w:tcW w:type="dxa" w:w="3134"/>
            <w:vAlign w:val="top"/>
          </w:tcPr>
          <w:p>
            <w:pPr>
              <w:spacing w:before="0" w:after="40" w:line="240" w:lineRule="auto"/>
            </w:pPr>
            <w:r/>
            <w:r>
              <w:rPr>
                <w:rFonts w:ascii="Times New Roman" w:hAnsi="Times New Roman" w:eastAsia="Times New Roman"/>
                <w:b w:val="0"/>
                <w:sz w:val="19"/>
              </w:rPr>
              <w:t>Core/advanced backend suite</w:t>
            </w:r>
          </w:p>
        </w:tc>
        <w:tc>
          <w:tcPr>
            <w:tcW w:type="dxa" w:w="3134"/>
            <w:vAlign w:val="top"/>
          </w:tcPr>
          <w:p>
            <w:pPr>
              <w:spacing w:before="0" w:after="40" w:line="240" w:lineRule="auto"/>
            </w:pPr>
            <w:r/>
            <w:r>
              <w:rPr>
                <w:rFonts w:ascii="Times New Roman" w:hAnsi="Times New Roman" w:eastAsia="Times New Roman"/>
                <w:b w:val="0"/>
                <w:sz w:val="19"/>
              </w:rPr>
              <w:t>A later isolated SQLite run passed 41 LMS tests.</w:t>
            </w:r>
          </w:p>
        </w:tc>
        <w:tc>
          <w:tcPr>
            <w:tcW w:type="dxa" w:w="3134"/>
            <w:vAlign w:val="top"/>
          </w:tcPr>
          <w:p>
            <w:pPr>
              <w:spacing w:before="0" w:after="40" w:line="240" w:lineRule="auto"/>
            </w:pPr>
            <w:r/>
            <w:r>
              <w:rPr>
                <w:rFonts w:ascii="Times New Roman" w:hAnsi="Times New Roman" w:eastAsia="Times New Roman"/>
                <w:b w:val="0"/>
                <w:sz w:val="19"/>
              </w:rPr>
              <w:t>This is the most recent test count available for this draft; it is not PostgreSQL verification.</w:t>
            </w:r>
          </w:p>
        </w:tc>
      </w:tr>
      <w:tr>
        <w:tc>
          <w:tcPr>
            <w:tcW w:type="dxa" w:w="3134"/>
            <w:vAlign w:val="top"/>
          </w:tcPr>
          <w:p>
            <w:pPr>
              <w:spacing w:before="0" w:after="40" w:line="240" w:lineRule="auto"/>
            </w:pPr>
            <w:r/>
            <w:r>
              <w:rPr>
                <w:rFonts w:ascii="Times New Roman" w:hAnsi="Times New Roman" w:eastAsia="Times New Roman"/>
                <w:b w:val="0"/>
                <w:sz w:val="19"/>
              </w:rPr>
              <w:t>Earlier PostgreSQL baseline</w:t>
            </w:r>
          </w:p>
        </w:tc>
        <w:tc>
          <w:tcPr>
            <w:tcW w:type="dxa" w:w="3134"/>
            <w:vAlign w:val="top"/>
          </w:tcPr>
          <w:p>
            <w:pPr>
              <w:spacing w:before="0" w:after="40" w:line="240" w:lineRule="auto"/>
            </w:pPr>
            <w:r/>
            <w:r>
              <w:rPr>
                <w:rFonts w:ascii="Times New Roman" w:hAnsi="Times New Roman" w:eastAsia="Times New Roman"/>
                <w:b w:val="0"/>
                <w:sz w:val="19"/>
              </w:rPr>
              <w:t>LMS_FEATURE_CHECKLIST.md records 36 tests passing with PostgreSQL in Docker Compose.</w:t>
            </w:r>
          </w:p>
        </w:tc>
        <w:tc>
          <w:tcPr>
            <w:tcW w:type="dxa" w:w="3134"/>
            <w:vAlign w:val="top"/>
          </w:tcPr>
          <w:p>
            <w:pPr>
              <w:spacing w:before="0" w:after="40" w:line="240" w:lineRule="auto"/>
            </w:pPr>
            <w:r/>
            <w:r>
              <w:rPr>
                <w:rFonts w:ascii="Times New Roman" w:hAnsi="Times New Roman" w:eastAsia="Times New Roman"/>
                <w:b w:val="0"/>
                <w:sz w:val="19"/>
              </w:rPr>
              <w:t>Earlier run and different test state; do not combine it with the 41-test SQLite run as one result.</w:t>
            </w:r>
          </w:p>
        </w:tc>
      </w:tr>
      <w:tr>
        <w:tc>
          <w:tcPr>
            <w:tcW w:type="dxa" w:w="3134"/>
            <w:vAlign w:val="top"/>
          </w:tcPr>
          <w:p>
            <w:pPr>
              <w:spacing w:before="0" w:after="40" w:line="240" w:lineRule="auto"/>
            </w:pPr>
            <w:r/>
            <w:r>
              <w:rPr>
                <w:rFonts w:ascii="Times New Roman" w:hAnsi="Times New Roman" w:eastAsia="Times New Roman"/>
                <w:b w:val="0"/>
                <w:sz w:val="19"/>
              </w:rPr>
              <w:t>Django and migration checks</w:t>
            </w:r>
          </w:p>
        </w:tc>
        <w:tc>
          <w:tcPr>
            <w:tcW w:type="dxa" w:w="3134"/>
            <w:vAlign w:val="top"/>
          </w:tcPr>
          <w:p>
            <w:pPr>
              <w:spacing w:before="0" w:after="40" w:line="240" w:lineRule="auto"/>
            </w:pPr>
            <w:r/>
            <w:r>
              <w:rPr>
                <w:rFonts w:ascii="Times New Roman" w:hAnsi="Times New Roman" w:eastAsia="Times New Roman"/>
                <w:b w:val="0"/>
                <w:sz w:val="19"/>
              </w:rPr>
              <w:t>System check passed; makemigrations --check --dry-run found no missing model migration in the recorded run.</w:t>
            </w:r>
          </w:p>
        </w:tc>
        <w:tc>
          <w:tcPr>
            <w:tcW w:type="dxa" w:w="3134"/>
            <w:vAlign w:val="top"/>
          </w:tcPr>
          <w:p>
            <w:pPr>
              <w:spacing w:before="0" w:after="40" w:line="240" w:lineRule="auto"/>
            </w:pPr>
            <w:r/>
            <w:r>
              <w:rPr>
                <w:rFonts w:ascii="Times New Roman" w:hAnsi="Times New Roman" w:eastAsia="Times New Roman"/>
                <w:b w:val="0"/>
                <w:sz w:val="19"/>
              </w:rPr>
              <w:t>Apply and verify migrations against the actual Render PostgreSQL instance before claiming hosted readiness.</w:t>
            </w:r>
          </w:p>
        </w:tc>
      </w:tr>
      <w:tr>
        <w:tc>
          <w:tcPr>
            <w:tcW w:type="dxa" w:w="3134"/>
            <w:vAlign w:val="top"/>
          </w:tcPr>
          <w:p>
            <w:pPr>
              <w:spacing w:before="0" w:after="40" w:line="240" w:lineRule="auto"/>
            </w:pPr>
            <w:r/>
            <w:r>
              <w:rPr>
                <w:rFonts w:ascii="Times New Roman" w:hAnsi="Times New Roman" w:eastAsia="Times New Roman"/>
                <w:b w:val="0"/>
                <w:sz w:val="19"/>
              </w:rPr>
              <w:t>Frontend lint/build</w:t>
            </w:r>
          </w:p>
        </w:tc>
        <w:tc>
          <w:tcPr>
            <w:tcW w:type="dxa" w:w="3134"/>
            <w:vAlign w:val="top"/>
          </w:tcPr>
          <w:p>
            <w:pPr>
              <w:spacing w:before="0" w:after="40" w:line="240" w:lineRule="auto"/>
            </w:pPr>
            <w:r/>
            <w:r>
              <w:rPr>
                <w:rFonts w:ascii="Times New Roman" w:hAnsi="Times New Roman" w:eastAsia="Times New Roman"/>
                <w:b w:val="0"/>
                <w:sz w:val="19"/>
              </w:rPr>
              <w:t>Lint command completed with existing warnings; production build completed with a large-chunk warning.</w:t>
            </w:r>
          </w:p>
        </w:tc>
        <w:tc>
          <w:tcPr>
            <w:tcW w:type="dxa" w:w="3134"/>
            <w:vAlign w:val="top"/>
          </w:tcPr>
          <w:p>
            <w:pPr>
              <w:spacing w:before="0" w:after="40" w:line="240" w:lineRule="auto"/>
            </w:pPr>
            <w:r/>
            <w:r>
              <w:rPr>
                <w:rFonts w:ascii="Times New Roman" w:hAnsi="Times New Roman" w:eastAsia="Times New Roman"/>
                <w:b w:val="0"/>
                <w:sz w:val="19"/>
              </w:rPr>
              <w:t>Do not describe lint as warning-free; record current build output if source has changed.</w:t>
            </w:r>
          </w:p>
        </w:tc>
      </w:tr>
      <w:tr>
        <w:tc>
          <w:tcPr>
            <w:tcW w:type="dxa" w:w="3134"/>
            <w:vAlign w:val="top"/>
          </w:tcPr>
          <w:p>
            <w:pPr>
              <w:spacing w:before="0" w:after="40" w:line="240" w:lineRule="auto"/>
            </w:pPr>
            <w:r/>
            <w:r>
              <w:rPr>
                <w:rFonts w:ascii="Times New Roman" w:hAnsi="Times New Roman" w:eastAsia="Times New Roman"/>
                <w:b w:val="0"/>
                <w:sz w:val="19"/>
              </w:rPr>
              <w:t>Manual advanced checks</w:t>
            </w:r>
          </w:p>
        </w:tc>
        <w:tc>
          <w:tcPr>
            <w:tcW w:type="dxa" w:w="3134"/>
            <w:vAlign w:val="top"/>
          </w:tcPr>
          <w:p>
            <w:pPr>
              <w:spacing w:before="0" w:after="40" w:line="240" w:lineRule="auto"/>
            </w:pPr>
            <w:r/>
            <w:r>
              <w:rPr>
                <w:rFonts w:ascii="Times New Roman" w:hAnsi="Times New Roman" w:eastAsia="Times New Roman"/>
                <w:b w:val="0"/>
                <w:sz w:val="19"/>
              </w:rPr>
              <w:t>The group reported successful analytics dashboard and non-Latin writing checks in the running application.</w:t>
            </w:r>
          </w:p>
        </w:tc>
        <w:tc>
          <w:tcPr>
            <w:tcW w:type="dxa" w:w="3134"/>
            <w:vAlign w:val="top"/>
          </w:tcPr>
          <w:p>
            <w:pPr>
              <w:spacing w:before="0" w:after="40" w:line="240" w:lineRule="auto"/>
            </w:pPr>
            <w:r/>
            <w:r>
              <w:rPr>
                <w:rFonts w:ascii="Times New Roman" w:hAnsi="Times New Roman" w:eastAsia="Times New Roman"/>
                <w:b w:val="0"/>
                <w:sz w:val="19"/>
              </w:rPr>
              <w:t>Attach fresh clips, date, browser/device and local/hosted environment.</w:t>
            </w:r>
          </w:p>
        </w:tc>
      </w:tr>
      <w:tr>
        <w:tc>
          <w:tcPr>
            <w:tcW w:type="dxa" w:w="3134"/>
            <w:vAlign w:val="top"/>
          </w:tcPr>
          <w:p>
            <w:pPr>
              <w:spacing w:before="0" w:after="40" w:line="240" w:lineRule="auto"/>
            </w:pPr>
            <w:r/>
            <w:r>
              <w:rPr>
                <w:rFonts w:ascii="Times New Roman" w:hAnsi="Times New Roman" w:eastAsia="Times New Roman"/>
                <w:b w:val="0"/>
                <w:sz w:val="19"/>
              </w:rPr>
              <w:t>Non-functional checks</w:t>
            </w:r>
          </w:p>
        </w:tc>
        <w:tc>
          <w:tcPr>
            <w:tcW w:type="dxa" w:w="3134"/>
            <w:vAlign w:val="top"/>
          </w:tcPr>
          <w:p>
            <w:pPr>
              <w:spacing w:before="0" w:after="40" w:line="240" w:lineRule="auto"/>
            </w:pPr>
            <w:r/>
            <w:r>
              <w:rPr>
                <w:rFonts w:ascii="Times New Roman" w:hAnsi="Times New Roman" w:eastAsia="Times New Roman"/>
                <w:b w:val="0"/>
                <w:sz w:val="19"/>
              </w:rPr>
              <w:t>Responsive/mobile, keyboard accessibility, offline/error recovery and browser-console checks remain unchecked in the QA checklist.</w:t>
            </w:r>
          </w:p>
        </w:tc>
        <w:tc>
          <w:tcPr>
            <w:tcW w:type="dxa" w:w="3134"/>
            <w:vAlign w:val="top"/>
          </w:tcPr>
          <w:p>
            <w:pPr>
              <w:spacing w:before="0" w:after="40" w:line="240" w:lineRule="auto"/>
            </w:pPr>
            <w:r/>
            <w:r>
              <w:rPr>
                <w:rFonts w:ascii="Times New Roman" w:hAnsi="Times New Roman" w:eastAsia="Times New Roman"/>
                <w:b w:val="0"/>
                <w:sz w:val="19"/>
              </w:rPr>
              <w:t>Complete or explicitly list as pending.</w:t>
            </w:r>
          </w:p>
        </w:tc>
      </w:tr>
    </w:tbl>
    <w:p>
      <w:pPr>
        <w:spacing w:after="20"/>
      </w:pPr>
    </w:p>
    <w:p>
      <w:pPr>
        <w:spacing w:after="60" w:line="240" w:lineRule="auto"/>
      </w:pPr>
      <w:r>
        <w:rPr>
          <w:rFonts w:ascii="Times New Roman" w:hAnsi="Times New Roman" w:eastAsia="Times New Roman"/>
          <w:sz w:val="22"/>
        </w:rPr>
        <w:t>Security controls implemented include server-side role and ownership authorization, enrollment/publication checks, Django password hashing, password-strength enforcement, OTP attempt/resend controls, input validation, upload-size limits and bounded writing-stroke payloads. These are selected application controls, not a penetration test or formal security certification. Production settings were prepared to read secrets/database/CORS from environment variables, enable HTTPS-aware behavior and serve static files through WhiteNoise. Do not include production secret values or database URLs in the report or demo recording.</w:t>
      </w:r>
    </w:p>
    <w:p>
      <w:pPr>
        <w:spacing w:after="60" w:line="240" w:lineRule="auto"/>
      </w:pPr>
      <w:r>
        <w:rPr>
          <w:rFonts w:ascii="Times New Roman" w:hAnsi="Times New Roman" w:eastAsia="Times New Roman"/>
          <w:sz w:val="22"/>
        </w:rPr>
        <w:t>Deployment issue and status. The first Render backend startup failed Django's system check because CORS_ALLOWED_ORIGINS included a trailing slash. The frontend origin must be scheme plus hostname only (for example, https://example.onrender.com), without a path or trailing slash. A correction was advised; the source material available for this report does not verify a successful subsequent deploy or complete browser-to-API flow. Render's container disk is ephemeral, so uploaded course/submission files need persistent/object storage for a reliable public demo.</w:t>
      </w:r>
    </w:p>
    <w:p>
      <w:pPr>
        <w:spacing w:after="80" w:line="240" w:lineRule="auto"/>
      </w:pPr>
      <w:r>
        <w:rPr>
          <w:rFonts w:ascii="Times New Roman" w:hAnsi="Times New Roman" w:eastAsia="Times New Roman"/>
          <w:b/>
          <w:sz w:val="22"/>
          <w:highlight w:val="yellow"/>
        </w:rPr>
        <w:t>DEMO 21—DEPLOYMENT: After redeploy, record the frontend URL loading, a successful API request in the browser Network panel, the backend health/admin response and the successful Render deploy event. Add date and status. Redact SECRET_KEY, DATABASE_URL, access tokens and email credentials. If this remains blocked, show the sanitized error and label the demo local-only.</w:t>
      </w:r>
    </w:p>
    <w:p>
      <w:pPr>
        <w:pStyle w:val="Heading1"/>
        <w:keepNext/>
        <w:spacing w:before="160" w:after="80"/>
      </w:pPr>
      <w:r>
        <w:rPr>
          <w:rFonts w:ascii="Arial" w:hAnsi="Arial" w:eastAsia="Arial"/>
          <w:b/>
          <w:sz w:val="24"/>
        </w:rPr>
        <w:t>6. Schedule, member contributions, risks and remaining plan</w:t>
      </w:r>
    </w:p>
    <w:p>
      <w:pPr>
        <w:spacing w:after="60" w:line="240" w:lineRule="auto"/>
      </w:pPr>
      <w:r>
        <w:rPr>
          <w:rFonts w:ascii="Times New Roman" w:hAnsi="Times New Roman" w:eastAsia="Times New Roman"/>
          <w:sz w:val="22"/>
        </w:rPr>
        <w:t>The proposal schedule runs from Weeks 39 to 50. The separate file named “DATH-261-N12-Tien do hang tuan.pdf” was reviewed: its content is a one-page member/role roster, not a week-by-week progress log. It identifies roles and one withdrawal but does not record dated task completion, planned-versus-actual status, commits or weekly risks. Accordingly, the implementation status below is assessed from the proposal, repository/checklist and known test evidence; exact weekly schedule variance cannot be established from that PDF alone.</w:t>
      </w:r>
    </w:p>
    <w:tbl>
      <w:tblPr>
        <w:tblStyle w:val="TableGrid"/>
        <w:tblW w:type="auto" w:w="0"/>
        <w:tblLayout w:type="autofit"/>
        <w:tblLook w:firstColumn="1" w:firstRow="1" w:lastColumn="0" w:lastRow="0" w:noHBand="0" w:noVBand="1" w:val="04A0"/>
      </w:tblPr>
      <w:tblGrid>
        <w:gridCol w:w="3134"/>
        <w:gridCol w:w="3134"/>
        <w:gridCol w:w="3134"/>
      </w:tblGrid>
      <w:tr>
        <w:tc>
          <w:tcPr>
            <w:tcW w:type="dxa" w:w="3134"/>
            <w:vAlign w:val="top"/>
            <w:shd w:fill="D9EAF7"/>
          </w:tcPr>
          <w:p>
            <w:pPr>
              <w:spacing w:before="0" w:after="40" w:line="240" w:lineRule="auto"/>
            </w:pPr>
            <w:r/>
            <w:r>
              <w:rPr>
                <w:rFonts w:ascii="Times New Roman" w:hAnsi="Times New Roman" w:eastAsia="Times New Roman"/>
                <w:b/>
                <w:sz w:val="19"/>
              </w:rPr>
              <w:t>Proposal phase</w:t>
            </w:r>
          </w:p>
        </w:tc>
        <w:tc>
          <w:tcPr>
            <w:tcW w:type="dxa" w:w="3134"/>
            <w:vAlign w:val="top"/>
            <w:shd w:fill="D9EAF7"/>
          </w:tcPr>
          <w:p>
            <w:pPr>
              <w:spacing w:before="0" w:after="40" w:line="240" w:lineRule="auto"/>
            </w:pPr>
            <w:r/>
            <w:r>
              <w:rPr>
                <w:rFonts w:ascii="Times New Roman" w:hAnsi="Times New Roman" w:eastAsia="Times New Roman"/>
                <w:b/>
                <w:sz w:val="19"/>
              </w:rPr>
              <w:t>Observed status at interim</w:t>
            </w:r>
          </w:p>
        </w:tc>
        <w:tc>
          <w:tcPr>
            <w:tcW w:type="dxa" w:w="3134"/>
            <w:vAlign w:val="top"/>
            <w:shd w:fill="D9EAF7"/>
          </w:tcPr>
          <w:p>
            <w:pPr>
              <w:spacing w:before="0" w:after="40" w:line="240" w:lineRule="auto"/>
            </w:pPr>
            <w:r/>
            <w:r>
              <w:rPr>
                <w:rFonts w:ascii="Times New Roman" w:hAnsi="Times New Roman" w:eastAsia="Times New Roman"/>
                <w:b/>
                <w:sz w:val="19"/>
              </w:rPr>
              <w:t>Overall assessment</w:t>
            </w:r>
          </w:p>
        </w:tc>
      </w:tr>
      <w:tr>
        <w:tc>
          <w:tcPr>
            <w:tcW w:type="dxa" w:w="3134"/>
            <w:vAlign w:val="top"/>
          </w:tcPr>
          <w:p>
            <w:pPr>
              <w:spacing w:before="0" w:after="40" w:line="240" w:lineRule="auto"/>
            </w:pPr>
            <w:r/>
            <w:r>
              <w:rPr>
                <w:rFonts w:ascii="Times New Roman" w:hAnsi="Times New Roman" w:eastAsia="Times New Roman"/>
                <w:b w:val="0"/>
                <w:sz w:val="19"/>
              </w:rPr>
              <w:t>Weeks 39–40: requirements, UI/UX prototypes, architecture, data model and project foundation.</w:t>
            </w:r>
          </w:p>
        </w:tc>
        <w:tc>
          <w:tcPr>
            <w:tcW w:type="dxa" w:w="3134"/>
            <w:vAlign w:val="top"/>
          </w:tcPr>
          <w:p>
            <w:pPr>
              <w:spacing w:before="0" w:after="40" w:line="240" w:lineRule="auto"/>
            </w:pPr>
            <w:r/>
            <w:r>
              <w:rPr>
                <w:rFonts w:ascii="Times New Roman" w:hAnsi="Times New Roman" w:eastAsia="Times New Roman"/>
                <w:b w:val="0"/>
                <w:sz w:val="19"/>
              </w:rPr>
              <w:t>The repository has a React/Vite UI, Django API, PostgreSQL/Docker configuration, relational models and implemented course flows. The weekly roster does not show when these artifacts were completed or retain approved UI/UX prototype decisions.</w:t>
            </w:r>
          </w:p>
        </w:tc>
        <w:tc>
          <w:tcPr>
            <w:tcW w:type="dxa" w:w="3134"/>
            <w:vAlign w:val="top"/>
          </w:tcPr>
          <w:p>
            <w:pPr>
              <w:spacing w:before="0" w:after="40" w:line="240" w:lineRule="auto"/>
            </w:pPr>
            <w:r/>
            <w:r>
              <w:rPr>
                <w:rFonts w:ascii="Times New Roman" w:hAnsi="Times New Roman" w:eastAsia="Times New Roman"/>
                <w:b w:val="0"/>
                <w:sz w:val="19"/>
              </w:rPr>
              <w:t>Deliverables are present in the current code; on-time completion cannot be verified from the weekly PDF. Attach dated issues/commits/progress records.</w:t>
            </w:r>
          </w:p>
        </w:tc>
      </w:tr>
      <w:tr>
        <w:tc>
          <w:tcPr>
            <w:tcW w:type="dxa" w:w="3134"/>
            <w:vAlign w:val="top"/>
          </w:tcPr>
          <w:p>
            <w:pPr>
              <w:spacing w:before="0" w:after="40" w:line="240" w:lineRule="auto"/>
            </w:pPr>
            <w:r/>
            <w:r>
              <w:rPr>
                <w:rFonts w:ascii="Times New Roman" w:hAnsi="Times New Roman" w:eastAsia="Times New Roman"/>
                <w:b w:val="0"/>
                <w:sz w:val="19"/>
              </w:rPr>
              <w:t>Weeks 41–43: integrate core LMS; prototype practice engine and Learning Analytics.</w:t>
            </w:r>
          </w:p>
        </w:tc>
        <w:tc>
          <w:tcPr>
            <w:tcW w:type="dxa" w:w="3134"/>
            <w:vAlign w:val="top"/>
          </w:tcPr>
          <w:p>
            <w:pPr>
              <w:spacing w:before="0" w:after="40" w:line="240" w:lineRule="auto"/>
            </w:pPr>
            <w:r/>
            <w:r>
              <w:rPr>
                <w:rFonts w:ascii="Times New Roman" w:hAnsi="Times New Roman" w:eastAsia="Times New Roman"/>
                <w:b w:val="0"/>
                <w:sz w:val="19"/>
              </w:rPr>
              <w:t>Core LMS and both advanced components are connected in the main course workflow. Test/feature evidence exists. Writing recognition, retention metrics and validated analytics evaluation remain partial/open.</w:t>
            </w:r>
          </w:p>
        </w:tc>
        <w:tc>
          <w:tcPr>
            <w:tcW w:type="dxa" w:w="3134"/>
            <w:vAlign w:val="top"/>
          </w:tcPr>
          <w:p>
            <w:pPr>
              <w:spacing w:before="0" w:after="40" w:line="240" w:lineRule="auto"/>
            </w:pPr>
            <w:r/>
            <w:r>
              <w:rPr>
                <w:rFonts w:ascii="Times New Roman" w:hAnsi="Times New Roman" w:eastAsia="Times New Roman"/>
                <w:b w:val="0"/>
                <w:sz w:val="19"/>
              </w:rPr>
              <w:t>Substantial implementation achieved; acceptance criteria are not all met. A feature inventory and explicit limits are provided above.</w:t>
            </w:r>
          </w:p>
        </w:tc>
      </w:tr>
      <w:tr>
        <w:tc>
          <w:tcPr>
            <w:tcW w:type="dxa" w:w="3134"/>
            <w:vAlign w:val="top"/>
          </w:tcPr>
          <w:p>
            <w:pPr>
              <w:spacing w:before="0" w:after="40" w:line="240" w:lineRule="auto"/>
            </w:pPr>
            <w:r/>
            <w:r>
              <w:rPr>
                <w:rFonts w:ascii="Times New Roman" w:hAnsi="Times New Roman" w:eastAsia="Times New Roman"/>
                <w:b w:val="0"/>
                <w:sz w:val="19"/>
              </w:rPr>
              <w:t>Week 44: integration test and interim report, due 23:59 Sunday 1 November 2026.</w:t>
            </w:r>
          </w:p>
        </w:tc>
        <w:tc>
          <w:tcPr>
            <w:tcW w:type="dxa" w:w="3134"/>
            <w:vAlign w:val="top"/>
          </w:tcPr>
          <w:p>
            <w:pPr>
              <w:spacing w:before="0" w:after="40" w:line="240" w:lineRule="auto"/>
            </w:pPr>
            <w:r/>
            <w:r>
              <w:rPr>
                <w:rFonts w:ascii="Times New Roman" w:hAnsi="Times New Roman" w:eastAsia="Times New Roman"/>
                <w:b w:val="0"/>
                <w:sz w:val="19"/>
              </w:rPr>
              <w:t>Integration build and report draft exist. Recorded test evidence includes 41 tests on SQLite and an earlier 36-test PostgreSQL result. Render CORS failure was observed; hosted success remains unverified.</w:t>
            </w:r>
          </w:p>
        </w:tc>
        <w:tc>
          <w:tcPr>
            <w:tcW w:type="dxa" w:w="3134"/>
            <w:vAlign w:val="top"/>
          </w:tcPr>
          <w:p>
            <w:pPr>
              <w:spacing w:before="0" w:after="40" w:line="240" w:lineRule="auto"/>
            </w:pPr>
            <w:r/>
            <w:r>
              <w:rPr>
                <w:rFonts w:ascii="Times New Roman" w:hAnsi="Times New Roman" w:eastAsia="Times New Roman"/>
                <w:b w:val="0"/>
                <w:sz w:val="19"/>
              </w:rPr>
              <w:t>Report/demo evidence and environment-specific checks must be completed before submission. This is a snapshot, not a claim that all Week 44 exit criteria are met.</w:t>
            </w:r>
          </w:p>
        </w:tc>
      </w:tr>
      <w:tr>
        <w:tc>
          <w:tcPr>
            <w:tcW w:type="dxa" w:w="3134"/>
            <w:vAlign w:val="top"/>
          </w:tcPr>
          <w:p>
            <w:pPr>
              <w:spacing w:before="0" w:after="40" w:line="240" w:lineRule="auto"/>
            </w:pPr>
            <w:r/>
            <w:r>
              <w:rPr>
                <w:rFonts w:ascii="Times New Roman" w:hAnsi="Times New Roman" w:eastAsia="Times New Roman"/>
                <w:b w:val="0"/>
                <w:sz w:val="19"/>
              </w:rPr>
              <w:t>Weeks 45–46: finalize features and collect evaluation datasets.</w:t>
            </w:r>
          </w:p>
        </w:tc>
        <w:tc>
          <w:tcPr>
            <w:tcW w:type="dxa" w:w="3134"/>
            <w:vAlign w:val="top"/>
          </w:tcPr>
          <w:p>
            <w:pPr>
              <w:spacing w:before="0" w:after="40" w:line="240" w:lineRule="auto"/>
            </w:pPr>
            <w:r/>
            <w:r>
              <w:rPr>
                <w:rFonts w:ascii="Times New Roman" w:hAnsi="Times New Roman" w:eastAsia="Times New Roman"/>
                <w:b w:val="0"/>
                <w:sz w:val="19"/>
              </w:rPr>
              <w:t>Future work: address approved feature gaps and prepare labeled/simulated evaluation cases with documented expected outcomes.</w:t>
            </w:r>
          </w:p>
        </w:tc>
        <w:tc>
          <w:tcPr>
            <w:tcW w:type="dxa" w:w="3134"/>
            <w:vAlign w:val="top"/>
          </w:tcPr>
          <w:p>
            <w:pPr>
              <w:spacing w:before="0" w:after="40" w:line="240" w:lineRule="auto"/>
            </w:pPr>
            <w:r/>
            <w:r>
              <w:rPr>
                <w:rFonts w:ascii="Times New Roman" w:hAnsi="Times New Roman" w:eastAsia="Times New Roman"/>
                <w:b w:val="0"/>
                <w:sz w:val="19"/>
              </w:rPr>
              <w:t>Plan remains open; agree whether handwriting recognition is in scope after the group's AI/RAG removal decision.</w:t>
            </w:r>
          </w:p>
        </w:tc>
      </w:tr>
      <w:tr>
        <w:tc>
          <w:tcPr>
            <w:tcW w:type="dxa" w:w="3134"/>
            <w:vAlign w:val="top"/>
          </w:tcPr>
          <w:p>
            <w:pPr>
              <w:spacing w:before="0" w:after="40" w:line="240" w:lineRule="auto"/>
            </w:pPr>
            <w:r/>
            <w:r>
              <w:rPr>
                <w:rFonts w:ascii="Times New Roman" w:hAnsi="Times New Roman" w:eastAsia="Times New Roman"/>
                <w:b w:val="0"/>
                <w:sz w:val="19"/>
              </w:rPr>
              <w:t>Week 47: functional, security, usability and performance testing.</w:t>
            </w:r>
          </w:p>
        </w:tc>
        <w:tc>
          <w:tcPr>
            <w:tcW w:type="dxa" w:w="3134"/>
            <w:vAlign w:val="top"/>
          </w:tcPr>
          <w:p>
            <w:pPr>
              <w:spacing w:before="0" w:after="40" w:line="240" w:lineRule="auto"/>
            </w:pPr>
            <w:r/>
            <w:r>
              <w:rPr>
                <w:rFonts w:ascii="Times New Roman" w:hAnsi="Times New Roman" w:eastAsia="Times New Roman"/>
                <w:b w:val="0"/>
                <w:sz w:val="19"/>
              </w:rPr>
              <w:t>Some API regression tests exist; responsive/accessibility/error-state checks are still unchecked in the QA checklist.</w:t>
            </w:r>
          </w:p>
        </w:tc>
        <w:tc>
          <w:tcPr>
            <w:tcW w:type="dxa" w:w="3134"/>
            <w:vAlign w:val="top"/>
          </w:tcPr>
          <w:p>
            <w:pPr>
              <w:spacing w:before="0" w:after="40" w:line="240" w:lineRule="auto"/>
            </w:pPr>
            <w:r/>
            <w:r>
              <w:rPr>
                <w:rFonts w:ascii="Times New Roman" w:hAnsi="Times New Roman" w:eastAsia="Times New Roman"/>
                <w:b w:val="0"/>
                <w:sz w:val="19"/>
              </w:rPr>
              <w:t>Complete the planned test matrix and log/fix issues.</w:t>
            </w:r>
          </w:p>
        </w:tc>
      </w:tr>
      <w:tr>
        <w:tc>
          <w:tcPr>
            <w:tcW w:type="dxa" w:w="3134"/>
            <w:vAlign w:val="top"/>
          </w:tcPr>
          <w:p>
            <w:pPr>
              <w:spacing w:before="0" w:after="40" w:line="240" w:lineRule="auto"/>
            </w:pPr>
            <w:r/>
            <w:r>
              <w:rPr>
                <w:rFonts w:ascii="Times New Roman" w:hAnsi="Times New Roman" w:eastAsia="Times New Roman"/>
                <w:b w:val="0"/>
                <w:sz w:val="19"/>
              </w:rPr>
              <w:t>Weeks 48–50: stabilize deploy, evaluate, prepare/rehearse final deliverables and submit by 13 December 2026.</w:t>
            </w:r>
          </w:p>
        </w:tc>
        <w:tc>
          <w:tcPr>
            <w:tcW w:type="dxa" w:w="3134"/>
            <w:vAlign w:val="top"/>
          </w:tcPr>
          <w:p>
            <w:pPr>
              <w:spacing w:before="0" w:after="40" w:line="240" w:lineRule="auto"/>
            </w:pPr>
            <w:r/>
            <w:r>
              <w:rPr>
                <w:rFonts w:ascii="Times New Roman" w:hAnsi="Times New Roman" w:eastAsia="Times New Roman"/>
                <w:b w:val="0"/>
                <w:sz w:val="19"/>
              </w:rPr>
              <w:t>Future work: successful hosted demo, evaluation, final report, slides, demo rehearsal and package.</w:t>
            </w:r>
          </w:p>
        </w:tc>
        <w:tc>
          <w:tcPr>
            <w:tcW w:type="dxa" w:w="3134"/>
            <w:vAlign w:val="top"/>
          </w:tcPr>
          <w:p>
            <w:pPr>
              <w:spacing w:before="0" w:after="40" w:line="240" w:lineRule="auto"/>
            </w:pPr>
            <w:r/>
            <w:r>
              <w:rPr>
                <w:rFonts w:ascii="Times New Roman" w:hAnsi="Times New Roman" w:eastAsia="Times New Roman"/>
                <w:b w:val="0"/>
                <w:sz w:val="19"/>
              </w:rPr>
              <w:t>Use milestones from the proposal; update against a real dated weekly log.</w:t>
            </w:r>
          </w:p>
        </w:tc>
      </w:tr>
    </w:tbl>
    <w:p>
      <w:pPr>
        <w:spacing w:after="20"/>
      </w:pPr>
    </w:p>
    <w:p>
      <w:pPr>
        <w:spacing w:after="80" w:line="240" w:lineRule="auto"/>
      </w:pPr>
      <w:r>
        <w:rPr>
          <w:rFonts w:ascii="Times New Roman" w:hAnsi="Times New Roman" w:eastAsia="Times New Roman"/>
          <w:b/>
          <w:sz w:val="22"/>
          <w:highlight w:val="yellow"/>
        </w:rPr>
        <w:t>EVIDENCE—WEEKLY PROGRESS: The supplied “Tien do hang tuan” PDF does not contain weekly updates. Add a link to the actual weekly progress log and enter each week’s planned work, completed work, date, blocker and recovery action. Reconcile this table with the team's real schedule before submission.</w:t>
      </w:r>
    </w:p>
    <w:tbl>
      <w:tblPr>
        <w:tblStyle w:val="TableGrid"/>
        <w:tblW w:type="auto" w:w="0"/>
        <w:tblLayout w:type="autofit"/>
        <w:tblLook w:firstColumn="1" w:firstRow="1" w:lastColumn="0" w:lastRow="0" w:noHBand="0" w:noVBand="1" w:val="04A0"/>
      </w:tblPr>
      <w:tblGrid>
        <w:gridCol w:w="3134"/>
        <w:gridCol w:w="3134"/>
        <w:gridCol w:w="3134"/>
      </w:tblGrid>
      <w:tr>
        <w:tc>
          <w:tcPr>
            <w:tcW w:type="dxa" w:w="3134"/>
            <w:vAlign w:val="top"/>
            <w:shd w:fill="D9EAF7"/>
          </w:tcPr>
          <w:p>
            <w:pPr>
              <w:spacing w:before="0" w:after="40" w:line="240" w:lineRule="auto"/>
            </w:pPr>
            <w:r/>
            <w:r>
              <w:rPr>
                <w:rFonts w:ascii="Times New Roman" w:hAnsi="Times New Roman" w:eastAsia="Times New Roman"/>
                <w:b/>
                <w:sz w:val="19"/>
              </w:rPr>
              <w:t>Member / status in weekly roster</w:t>
            </w:r>
          </w:p>
        </w:tc>
        <w:tc>
          <w:tcPr>
            <w:tcW w:type="dxa" w:w="3134"/>
            <w:vAlign w:val="top"/>
            <w:shd w:fill="D9EAF7"/>
          </w:tcPr>
          <w:p>
            <w:pPr>
              <w:spacing w:before="0" w:after="40" w:line="240" w:lineRule="auto"/>
            </w:pPr>
            <w:r/>
            <w:r>
              <w:rPr>
                <w:rFonts w:ascii="Times New Roman" w:hAnsi="Times New Roman" w:eastAsia="Times New Roman"/>
                <w:b/>
                <w:sz w:val="19"/>
              </w:rPr>
              <w:t>Role stated in source</w:t>
            </w:r>
          </w:p>
        </w:tc>
        <w:tc>
          <w:tcPr>
            <w:tcW w:type="dxa" w:w="3134"/>
            <w:vAlign w:val="top"/>
            <w:shd w:fill="D9EAF7"/>
          </w:tcPr>
          <w:p>
            <w:pPr>
              <w:spacing w:before="0" w:after="40" w:line="240" w:lineRule="auto"/>
            </w:pPr>
            <w:r/>
            <w:r>
              <w:rPr>
                <w:rFonts w:ascii="Times New Roman" w:hAnsi="Times New Roman" w:eastAsia="Times New Roman"/>
                <w:b/>
                <w:sz w:val="19"/>
              </w:rPr>
              <w:t>Evidence-based assessment and item to complete</w:t>
            </w:r>
          </w:p>
        </w:tc>
      </w:tr>
      <w:tr>
        <w:tc>
          <w:tcPr>
            <w:tcW w:type="dxa" w:w="3134"/>
            <w:vAlign w:val="top"/>
          </w:tcPr>
          <w:p>
            <w:pPr>
              <w:spacing w:before="0" w:after="40" w:line="240" w:lineRule="auto"/>
            </w:pPr>
            <w:r/>
            <w:r>
              <w:rPr>
                <w:rFonts w:ascii="Times New Roman" w:hAnsi="Times New Roman" w:eastAsia="Times New Roman"/>
                <w:b w:val="0"/>
                <w:sz w:val="19"/>
              </w:rPr>
              <w:t>Nguyễn Huỳnh Đức — 2036118</w:t>
            </w:r>
          </w:p>
        </w:tc>
        <w:tc>
          <w:tcPr>
            <w:tcW w:type="dxa" w:w="3134"/>
            <w:vAlign w:val="top"/>
          </w:tcPr>
          <w:p>
            <w:pPr>
              <w:spacing w:before="0" w:after="40" w:line="240" w:lineRule="auto"/>
            </w:pPr>
            <w:r/>
            <w:r>
              <w:rPr>
                <w:rFonts w:ascii="Times New Roman" w:hAnsi="Times New Roman" w:eastAsia="Times New Roman"/>
                <w:b w:val="0"/>
                <w:sz w:val="19"/>
              </w:rPr>
              <w:t>“Kiểm tra và tích hợp 2 tp nâng cao vào hệ thống” (testing and integrating the two advanced components).</w:t>
            </w:r>
          </w:p>
        </w:tc>
        <w:tc>
          <w:tcPr>
            <w:tcW w:type="dxa" w:w="3134"/>
            <w:vAlign w:val="top"/>
          </w:tcPr>
          <w:p>
            <w:pPr>
              <w:spacing w:before="0" w:after="40" w:line="240" w:lineRule="auto"/>
            </w:pPr>
            <w:r/>
            <w:r>
              <w:rPr>
                <w:rFonts w:ascii="Times New Roman" w:hAnsi="Times New Roman" w:eastAsia="Times New Roman"/>
                <w:b w:val="0"/>
                <w:sz w:val="19"/>
              </w:rPr>
              <w:t>The responsibility aligns with the integrated analytics/practice prototype. The roster does not identify individual test cases, dates or commits. Add the work actually completed and its commit/test/video evidence; do not infer sole authorship of all advanced code.</w:t>
            </w:r>
          </w:p>
        </w:tc>
      </w:tr>
      <w:tr>
        <w:tc>
          <w:tcPr>
            <w:tcW w:type="dxa" w:w="3134"/>
            <w:vAlign w:val="top"/>
          </w:tcPr>
          <w:p>
            <w:pPr>
              <w:spacing w:before="0" w:after="40" w:line="240" w:lineRule="auto"/>
            </w:pPr>
            <w:r/>
            <w:r>
              <w:rPr>
                <w:rFonts w:ascii="Times New Roman" w:hAnsi="Times New Roman" w:eastAsia="Times New Roman"/>
                <w:b w:val="0"/>
                <w:sz w:val="19"/>
              </w:rPr>
              <w:t>Huỳnh Minh Hiển — 2520003</w:t>
            </w:r>
          </w:p>
        </w:tc>
        <w:tc>
          <w:tcPr>
            <w:tcW w:type="dxa" w:w="3134"/>
            <w:vAlign w:val="top"/>
          </w:tcPr>
          <w:p>
            <w:pPr>
              <w:spacing w:before="0" w:after="40" w:line="240" w:lineRule="auto"/>
            </w:pPr>
            <w:r/>
            <w:r>
              <w:rPr>
                <w:rFonts w:ascii="Times New Roman" w:hAnsi="Times New Roman" w:eastAsia="Times New Roman"/>
                <w:b w:val="0"/>
                <w:sz w:val="19"/>
              </w:rPr>
              <w:t>The source says “rút môn” (withdrew from the course).</w:t>
            </w:r>
          </w:p>
        </w:tc>
        <w:tc>
          <w:tcPr>
            <w:tcW w:type="dxa" w:w="3134"/>
            <w:vAlign w:val="top"/>
          </w:tcPr>
          <w:p>
            <w:pPr>
              <w:spacing w:before="0" w:after="40" w:line="240" w:lineRule="auto"/>
            </w:pPr>
            <w:r/>
            <w:r>
              <w:rPr>
                <w:rFonts w:ascii="Times New Roman" w:hAnsi="Times New Roman" w:eastAsia="Times New Roman"/>
                <w:b w:val="0"/>
                <w:sz w:val="19"/>
              </w:rPr>
              <w:t>Record this as the status stated in the roster. Confirm whether the person should appear in the final contribution accounting under course policy; do not attribute interim implementation without evidence.</w:t>
            </w:r>
          </w:p>
        </w:tc>
      </w:tr>
      <w:tr>
        <w:tc>
          <w:tcPr>
            <w:tcW w:type="dxa" w:w="3134"/>
            <w:vAlign w:val="top"/>
          </w:tcPr>
          <w:p>
            <w:pPr>
              <w:spacing w:before="0" w:after="40" w:line="240" w:lineRule="auto"/>
            </w:pPr>
            <w:r/>
            <w:r>
              <w:rPr>
                <w:rFonts w:ascii="Times New Roman" w:hAnsi="Times New Roman" w:eastAsia="Times New Roman"/>
                <w:b w:val="0"/>
                <w:sz w:val="19"/>
              </w:rPr>
              <w:t>Khâu Phương Nghi — 2412246</w:t>
            </w:r>
          </w:p>
        </w:tc>
        <w:tc>
          <w:tcPr>
            <w:tcW w:type="dxa" w:w="3134"/>
            <w:vAlign w:val="top"/>
          </w:tcPr>
          <w:p>
            <w:pPr>
              <w:spacing w:before="0" w:after="40" w:line="240" w:lineRule="auto"/>
            </w:pPr>
            <w:r/>
            <w:r>
              <w:rPr>
                <w:rFonts w:ascii="Times New Roman" w:hAnsi="Times New Roman" w:eastAsia="Times New Roman"/>
                <w:b w:val="0"/>
                <w:sz w:val="19"/>
              </w:rPr>
              <w:t>“Hệ thống viết chữ” (writing system).</w:t>
            </w:r>
          </w:p>
        </w:tc>
        <w:tc>
          <w:tcPr>
            <w:tcW w:type="dxa" w:w="3134"/>
            <w:vAlign w:val="top"/>
          </w:tcPr>
          <w:p>
            <w:pPr>
              <w:spacing w:before="0" w:after="40" w:line="240" w:lineRule="auto"/>
            </w:pPr>
            <w:r/>
            <w:r>
              <w:rPr>
                <w:rFonts w:ascii="Times New Roman" w:hAnsi="Times New Roman" w:eastAsia="Times New Roman"/>
                <w:b w:val="0"/>
                <w:sz w:val="19"/>
              </w:rPr>
              <w:t>The current product has a non-Latin writing canvas and stores normalized strokes. Automatic character recognition/stroke-order grading is not implemented. Specify the member's exact UI/API/test tasks and link dated evidence; distinguish implemented scope from proposal goals.</w:t>
            </w:r>
          </w:p>
        </w:tc>
      </w:tr>
      <w:tr>
        <w:tc>
          <w:tcPr>
            <w:tcW w:type="dxa" w:w="3134"/>
            <w:vAlign w:val="top"/>
          </w:tcPr>
          <w:p>
            <w:pPr>
              <w:spacing w:before="0" w:after="40" w:line="240" w:lineRule="auto"/>
            </w:pPr>
            <w:r/>
            <w:r>
              <w:rPr>
                <w:rFonts w:ascii="Times New Roman" w:hAnsi="Times New Roman" w:eastAsia="Times New Roman"/>
                <w:b w:val="0"/>
                <w:sz w:val="19"/>
              </w:rPr>
              <w:t>Nguyễn Lê Phú Tài — 2413039</w:t>
            </w:r>
          </w:p>
        </w:tc>
        <w:tc>
          <w:tcPr>
            <w:tcW w:type="dxa" w:w="3134"/>
            <w:vAlign w:val="top"/>
          </w:tcPr>
          <w:p>
            <w:pPr>
              <w:spacing w:before="0" w:after="40" w:line="240" w:lineRule="auto"/>
            </w:pPr>
            <w:r/>
            <w:r>
              <w:rPr>
                <w:rFonts w:ascii="Times New Roman" w:hAnsi="Times New Roman" w:eastAsia="Times New Roman"/>
                <w:b w:val="0"/>
                <w:sz w:val="19"/>
              </w:rPr>
              <w:t>“Trưởng nhóm” (team leader).</w:t>
            </w:r>
          </w:p>
        </w:tc>
        <w:tc>
          <w:tcPr>
            <w:tcW w:type="dxa" w:w="3134"/>
            <w:vAlign w:val="top"/>
          </w:tcPr>
          <w:p>
            <w:pPr>
              <w:spacing w:before="0" w:after="40" w:line="240" w:lineRule="auto"/>
            </w:pPr>
            <w:r/>
            <w:r>
              <w:rPr>
                <w:rFonts w:ascii="Times New Roman" w:hAnsi="Times New Roman" w:eastAsia="Times New Roman"/>
                <w:b w:val="0"/>
                <w:sz w:val="19"/>
              </w:rPr>
              <w:t>The roster gives the leadership role but no task-level contribution. Add actual coordination/design/integration/report tasks only if supported by the weekly log, commits/issues or other evidence.</w:t>
            </w:r>
          </w:p>
        </w:tc>
      </w:tr>
      <w:tr>
        <w:tc>
          <w:tcPr>
            <w:tcW w:type="dxa" w:w="3134"/>
            <w:vAlign w:val="top"/>
          </w:tcPr>
          <w:p>
            <w:pPr>
              <w:spacing w:before="0" w:after="40" w:line="240" w:lineRule="auto"/>
            </w:pPr>
            <w:r/>
            <w:r>
              <w:rPr>
                <w:rFonts w:ascii="Times New Roman" w:hAnsi="Times New Roman" w:eastAsia="Times New Roman"/>
                <w:b w:val="0"/>
                <w:sz w:val="19"/>
              </w:rPr>
              <w:t>Phạm Tiến Đạt — 2410724</w:t>
            </w:r>
          </w:p>
        </w:tc>
        <w:tc>
          <w:tcPr>
            <w:tcW w:type="dxa" w:w="3134"/>
            <w:vAlign w:val="top"/>
          </w:tcPr>
          <w:p>
            <w:pPr>
              <w:spacing w:before="0" w:after="40" w:line="240" w:lineRule="auto"/>
            </w:pPr>
            <w:r/>
            <w:r>
              <w:rPr>
                <w:rFonts w:ascii="Times New Roman" w:hAnsi="Times New Roman" w:eastAsia="Times New Roman"/>
                <w:b w:val="0"/>
                <w:sz w:val="19"/>
              </w:rPr>
              <w:t>“Làm bonus” (bonus work).</w:t>
            </w:r>
          </w:p>
        </w:tc>
        <w:tc>
          <w:tcPr>
            <w:tcW w:type="dxa" w:w="3134"/>
            <w:vAlign w:val="top"/>
          </w:tcPr>
          <w:p>
            <w:pPr>
              <w:spacing w:before="0" w:after="40" w:line="240" w:lineRule="auto"/>
            </w:pPr>
            <w:r/>
            <w:r>
              <w:rPr>
                <w:rFonts w:ascii="Times New Roman" w:hAnsi="Times New Roman" w:eastAsia="Times New Roman"/>
                <w:b w:val="0"/>
                <w:sz w:val="19"/>
              </w:rPr>
              <w:t>The source does not define which bonus feature or deliverable. Name the exact feature, acceptance result and evidence before assessing the contribution.</w:t>
            </w:r>
          </w:p>
        </w:tc>
      </w:tr>
    </w:tbl>
    <w:p>
      <w:pPr>
        <w:spacing w:after="20"/>
      </w:pPr>
    </w:p>
    <w:p>
      <w:pPr>
        <w:spacing w:after="60" w:line="240" w:lineRule="auto"/>
      </w:pPr>
      <w:r>
        <w:rPr>
          <w:rFonts w:ascii="Times New Roman" w:hAnsi="Times New Roman" w:eastAsia="Times New Roman"/>
          <w:sz w:val="22"/>
        </w:rPr>
        <w:t>Team-allocation gap: the proposal defines seven technical roles, whereas the roster lists five people and identifies one as having withdrawn. It does not explicitly assign the UI/UX/frontend lead, LMS-core backend, practice/event backend, analytics engineering and tester/documentation roles to individuals or describe role sharing. The table above deliberately evaluates only the responsibilities that the roster states.</w:t>
      </w:r>
    </w:p>
    <w:p>
      <w:pPr>
        <w:spacing w:after="80" w:line="240" w:lineRule="auto"/>
      </w:pPr>
      <w:r>
        <w:rPr>
          <w:rFonts w:ascii="Times New Roman" w:hAnsi="Times New Roman" w:eastAsia="Times New Roman"/>
          <w:b/>
          <w:sz w:val="22"/>
          <w:highlight w:val="yellow"/>
        </w:rPr>
        <w:t>EVIDENCE—INDIVIDUAL CONTRIBUTIONS: For each active member, replace/add specific completed tasks, dates, commit hashes, issues/PRs, test cases or demo clips. Confirm role sharing and the withdrawn-member reporting policy with the team. Do not submit the roster's broad labels as the only evidence of contribution.</w:t>
      </w:r>
    </w:p>
    <w:tbl>
      <w:tblPr>
        <w:tblStyle w:val="TableGrid"/>
        <w:tblW w:type="auto" w:w="0"/>
        <w:tblLayout w:type="autofit"/>
        <w:tblLook w:firstColumn="1" w:firstRow="1" w:lastColumn="0" w:lastRow="0" w:noHBand="0" w:noVBand="1" w:val="04A0"/>
      </w:tblPr>
      <w:tblGrid>
        <w:gridCol w:w="3134"/>
        <w:gridCol w:w="3134"/>
        <w:gridCol w:w="3134"/>
      </w:tblGrid>
      <w:tr>
        <w:tc>
          <w:tcPr>
            <w:tcW w:type="dxa" w:w="3134"/>
            <w:vAlign w:val="top"/>
            <w:shd w:fill="D9EAF7"/>
          </w:tcPr>
          <w:p>
            <w:pPr>
              <w:spacing w:before="0" w:after="40" w:line="240" w:lineRule="auto"/>
            </w:pPr>
            <w:r/>
            <w:r>
              <w:rPr>
                <w:rFonts w:ascii="Times New Roman" w:hAnsi="Times New Roman" w:eastAsia="Times New Roman"/>
                <w:b/>
                <w:sz w:val="19"/>
              </w:rPr>
              <w:t>Risk / gap</w:t>
            </w:r>
          </w:p>
        </w:tc>
        <w:tc>
          <w:tcPr>
            <w:tcW w:type="dxa" w:w="3134"/>
            <w:vAlign w:val="top"/>
            <w:shd w:fill="D9EAF7"/>
          </w:tcPr>
          <w:p>
            <w:pPr>
              <w:spacing w:before="0" w:after="40" w:line="240" w:lineRule="auto"/>
            </w:pPr>
            <w:r/>
            <w:r>
              <w:rPr>
                <w:rFonts w:ascii="Times New Roman" w:hAnsi="Times New Roman" w:eastAsia="Times New Roman"/>
                <w:b/>
                <w:sz w:val="19"/>
              </w:rPr>
              <w:t>Impact</w:t>
            </w:r>
          </w:p>
        </w:tc>
        <w:tc>
          <w:tcPr>
            <w:tcW w:type="dxa" w:w="3134"/>
            <w:vAlign w:val="top"/>
            <w:shd w:fill="D9EAF7"/>
          </w:tcPr>
          <w:p>
            <w:pPr>
              <w:spacing w:before="0" w:after="40" w:line="240" w:lineRule="auto"/>
            </w:pPr>
            <w:r/>
            <w:r>
              <w:rPr>
                <w:rFonts w:ascii="Times New Roman" w:hAnsi="Times New Roman" w:eastAsia="Times New Roman"/>
                <w:b/>
                <w:sz w:val="19"/>
              </w:rPr>
              <w:t>Remaining action</w:t>
            </w:r>
          </w:p>
        </w:tc>
      </w:tr>
      <w:tr>
        <w:tc>
          <w:tcPr>
            <w:tcW w:type="dxa" w:w="3134"/>
            <w:vAlign w:val="top"/>
          </w:tcPr>
          <w:p>
            <w:pPr>
              <w:spacing w:before="0" w:after="40" w:line="240" w:lineRule="auto"/>
            </w:pPr>
            <w:r/>
            <w:r>
              <w:rPr>
                <w:rFonts w:ascii="Times New Roman" w:hAnsi="Times New Roman" w:eastAsia="Times New Roman"/>
                <w:b w:val="0"/>
                <w:sz w:val="19"/>
              </w:rPr>
              <w:t>Simulated analytics and no measured detection accuracy</w:t>
            </w:r>
          </w:p>
        </w:tc>
        <w:tc>
          <w:tcPr>
            <w:tcW w:type="dxa" w:w="3134"/>
            <w:vAlign w:val="top"/>
          </w:tcPr>
          <w:p>
            <w:pPr>
              <w:spacing w:before="0" w:after="40" w:line="240" w:lineRule="auto"/>
            </w:pPr>
            <w:r/>
            <w:r>
              <w:rPr>
                <w:rFonts w:ascii="Times New Roman" w:hAnsi="Times New Roman" w:eastAsia="Times New Roman"/>
                <w:b w:val="0"/>
                <w:sz w:val="19"/>
              </w:rPr>
              <w:t>No claim can be made about real-world prediction effectiveness.</w:t>
            </w:r>
          </w:p>
        </w:tc>
        <w:tc>
          <w:tcPr>
            <w:tcW w:type="dxa" w:w="3134"/>
            <w:vAlign w:val="top"/>
          </w:tcPr>
          <w:p>
            <w:pPr>
              <w:spacing w:before="0" w:after="40" w:line="240" w:lineRule="auto"/>
            </w:pPr>
            <w:r/>
            <w:r>
              <w:rPr>
                <w:rFonts w:ascii="Times New Roman" w:hAnsi="Times New Roman" w:eastAsia="Times New Roman"/>
                <w:b w:val="0"/>
                <w:sz w:val="19"/>
              </w:rPr>
              <w:t>Define labeled scenarios, expected labels, false-positive/negative measures and privacy boundaries.</w:t>
            </w:r>
          </w:p>
        </w:tc>
      </w:tr>
      <w:tr>
        <w:tc>
          <w:tcPr>
            <w:tcW w:type="dxa" w:w="3134"/>
            <w:vAlign w:val="top"/>
          </w:tcPr>
          <w:p>
            <w:pPr>
              <w:spacing w:before="0" w:after="40" w:line="240" w:lineRule="auto"/>
            </w:pPr>
            <w:r/>
            <w:r>
              <w:rPr>
                <w:rFonts w:ascii="Times New Roman" w:hAnsi="Times New Roman" w:eastAsia="Times New Roman"/>
                <w:b w:val="0"/>
                <w:sz w:val="19"/>
              </w:rPr>
              <w:t>No handwriting recognition/stroke validation or retention metric</w:t>
            </w:r>
          </w:p>
        </w:tc>
        <w:tc>
          <w:tcPr>
            <w:tcW w:type="dxa" w:w="3134"/>
            <w:vAlign w:val="top"/>
          </w:tcPr>
          <w:p>
            <w:pPr>
              <w:spacing w:before="0" w:after="40" w:line="240" w:lineRule="auto"/>
            </w:pPr>
            <w:r/>
            <w:r>
              <w:rPr>
                <w:rFonts w:ascii="Times New Roman" w:hAnsi="Times New Roman" w:eastAsia="Times New Roman"/>
                <w:b w:val="0"/>
                <w:sz w:val="19"/>
              </w:rPr>
              <w:t>Part of the proposal's active-practice differentiation remains unfulfilled.</w:t>
            </w:r>
          </w:p>
        </w:tc>
        <w:tc>
          <w:tcPr>
            <w:tcW w:type="dxa" w:w="3134"/>
            <w:vAlign w:val="top"/>
          </w:tcPr>
          <w:p>
            <w:pPr>
              <w:spacing w:before="0" w:after="40" w:line="240" w:lineRule="auto"/>
            </w:pPr>
            <w:r/>
            <w:r>
              <w:rPr>
                <w:rFonts w:ascii="Times New Roman" w:hAnsi="Times New Roman" w:eastAsia="Times New Roman"/>
                <w:b w:val="0"/>
                <w:sz w:val="19"/>
              </w:rPr>
              <w:t>Agree a feasible non-AI baseline or formally defer the criterion; retain the limitation in the final report.</w:t>
            </w:r>
          </w:p>
        </w:tc>
      </w:tr>
      <w:tr>
        <w:tc>
          <w:tcPr>
            <w:tcW w:type="dxa" w:w="3134"/>
            <w:vAlign w:val="top"/>
          </w:tcPr>
          <w:p>
            <w:pPr>
              <w:spacing w:before="0" w:after="40" w:line="240" w:lineRule="auto"/>
            </w:pPr>
            <w:r/>
            <w:r>
              <w:rPr>
                <w:rFonts w:ascii="Times New Roman" w:hAnsi="Times New Roman" w:eastAsia="Times New Roman"/>
                <w:b w:val="0"/>
                <w:sz w:val="19"/>
              </w:rPr>
              <w:t>Render deployment/media persistence not verified</w:t>
            </w:r>
          </w:p>
        </w:tc>
        <w:tc>
          <w:tcPr>
            <w:tcW w:type="dxa" w:w="3134"/>
            <w:vAlign w:val="top"/>
          </w:tcPr>
          <w:p>
            <w:pPr>
              <w:spacing w:before="0" w:after="40" w:line="240" w:lineRule="auto"/>
            </w:pPr>
            <w:r/>
            <w:r>
              <w:rPr>
                <w:rFonts w:ascii="Times New Roman" w:hAnsi="Times New Roman" w:eastAsia="Times New Roman"/>
                <w:b w:val="0"/>
                <w:sz w:val="19"/>
              </w:rPr>
              <w:t>Reviewers may not be able to reproduce the demo; uploaded files may not persist.</w:t>
            </w:r>
          </w:p>
        </w:tc>
        <w:tc>
          <w:tcPr>
            <w:tcW w:type="dxa" w:w="3134"/>
            <w:vAlign w:val="top"/>
          </w:tcPr>
          <w:p>
            <w:pPr>
              <w:spacing w:before="0" w:after="40" w:line="240" w:lineRule="auto"/>
            </w:pPr>
            <w:r/>
            <w:r>
              <w:rPr>
                <w:rFonts w:ascii="Times New Roman" w:hAnsi="Times New Roman" w:eastAsia="Times New Roman"/>
                <w:b w:val="0"/>
                <w:sz w:val="19"/>
              </w:rPr>
              <w:t>Verify Render/PostgreSQL/CORS end to end; configure persistent object storage or scope the demo accordingly.</w:t>
            </w:r>
          </w:p>
        </w:tc>
      </w:tr>
      <w:tr>
        <w:tc>
          <w:tcPr>
            <w:tcW w:type="dxa" w:w="3134"/>
            <w:vAlign w:val="top"/>
          </w:tcPr>
          <w:p>
            <w:pPr>
              <w:spacing w:before="0" w:after="40" w:line="240" w:lineRule="auto"/>
            </w:pPr>
            <w:r/>
            <w:r>
              <w:rPr>
                <w:rFonts w:ascii="Times New Roman" w:hAnsi="Times New Roman" w:eastAsia="Times New Roman"/>
                <w:b w:val="0"/>
                <w:sz w:val="19"/>
              </w:rPr>
              <w:t>No complete dated weekly log/individual evidence in supplied PDF</w:t>
            </w:r>
          </w:p>
        </w:tc>
        <w:tc>
          <w:tcPr>
            <w:tcW w:type="dxa" w:w="3134"/>
            <w:vAlign w:val="top"/>
          </w:tcPr>
          <w:p>
            <w:pPr>
              <w:spacing w:before="0" w:after="40" w:line="240" w:lineRule="auto"/>
            </w:pPr>
            <w:r/>
            <w:r>
              <w:rPr>
                <w:rFonts w:ascii="Times New Roman" w:hAnsi="Times New Roman" w:eastAsia="Times New Roman"/>
                <w:b w:val="0"/>
                <w:sz w:val="19"/>
              </w:rPr>
              <w:t>Schedule variance and individual contributions cannot be fairly audited.</w:t>
            </w:r>
          </w:p>
        </w:tc>
        <w:tc>
          <w:tcPr>
            <w:tcW w:type="dxa" w:w="3134"/>
            <w:vAlign w:val="top"/>
          </w:tcPr>
          <w:p>
            <w:pPr>
              <w:spacing w:before="0" w:after="40" w:line="240" w:lineRule="auto"/>
            </w:pPr>
            <w:r/>
            <w:r>
              <w:rPr>
                <w:rFonts w:ascii="Times New Roman" w:hAnsi="Times New Roman" w:eastAsia="Times New Roman"/>
                <w:b w:val="0"/>
                <w:sz w:val="19"/>
              </w:rPr>
              <w:t>Attach the real weekly progress document and reconcile member tasks against commits/issues.</w:t>
            </w:r>
          </w:p>
        </w:tc>
      </w:tr>
      <w:tr>
        <w:tc>
          <w:tcPr>
            <w:tcW w:type="dxa" w:w="3134"/>
            <w:vAlign w:val="top"/>
          </w:tcPr>
          <w:p>
            <w:pPr>
              <w:spacing w:before="0" w:after="40" w:line="240" w:lineRule="auto"/>
            </w:pPr>
            <w:r/>
            <w:r>
              <w:rPr>
                <w:rFonts w:ascii="Times New Roman" w:hAnsi="Times New Roman" w:eastAsia="Times New Roman"/>
                <w:b w:val="0"/>
                <w:sz w:val="19"/>
              </w:rPr>
              <w:t>Responsive, accessibility and performance testing outstanding</w:t>
            </w:r>
          </w:p>
        </w:tc>
        <w:tc>
          <w:tcPr>
            <w:tcW w:type="dxa" w:w="3134"/>
            <w:vAlign w:val="top"/>
          </w:tcPr>
          <w:p>
            <w:pPr>
              <w:spacing w:before="0" w:after="40" w:line="240" w:lineRule="auto"/>
            </w:pPr>
            <w:r/>
            <w:r>
              <w:rPr>
                <w:rFonts w:ascii="Times New Roman" w:hAnsi="Times New Roman" w:eastAsia="Times New Roman"/>
                <w:b w:val="0"/>
                <w:sz w:val="19"/>
              </w:rPr>
              <w:t>Some quality attributes remain unverified.</w:t>
            </w:r>
          </w:p>
        </w:tc>
        <w:tc>
          <w:tcPr>
            <w:tcW w:type="dxa" w:w="3134"/>
            <w:vAlign w:val="top"/>
          </w:tcPr>
          <w:p>
            <w:pPr>
              <w:spacing w:before="0" w:after="40" w:line="240" w:lineRule="auto"/>
            </w:pPr>
            <w:r/>
            <w:r>
              <w:rPr>
                <w:rFonts w:ascii="Times New Roman" w:hAnsi="Times New Roman" w:eastAsia="Times New Roman"/>
                <w:b w:val="0"/>
                <w:sz w:val="19"/>
              </w:rPr>
              <w:t>Run the Week 47 test plan, record defects and evidence fixes.</w:t>
            </w:r>
          </w:p>
        </w:tc>
      </w:tr>
    </w:tbl>
    <w:p>
      <w:pPr>
        <w:spacing w:after="20"/>
      </w:pPr>
    </w:p>
    <w:p>
      <w:pPr>
        <w:spacing w:after="60" w:line="240" w:lineRule="auto"/>
      </w:pPr>
      <w:r>
        <w:rPr>
          <w:rFonts w:ascii="Times New Roman" w:hAnsi="Times New Roman" w:eastAsia="Times New Roman"/>
          <w:sz w:val="22"/>
        </w:rPr>
        <w:t>Remaining plan: Weeks 45–46 finish agreed integrations and evaluation data; Week 47 complete functional/security/usability/performance tests and fix issues; Week 48 stabilize deployment and metrics, prepare final report/slides/demo script; Week 49 rehearse and close remaining defects; Week 50 submit final deliverables by 23:59 Sunday, 13 December 2026. The English report is the official submission and its main content must remain within 10 pages.</w:t>
      </w:r>
    </w:p>
    <w:p>
      <w:pPr>
        <w:spacing w:after="80" w:line="240" w:lineRule="auto"/>
      </w:pPr>
      <w:r>
        <w:rPr>
          <w:rFonts w:ascii="Times New Roman" w:hAnsi="Times New Roman" w:eastAsia="Times New Roman"/>
          <w:b/>
          <w:sz w:val="22"/>
          <w:highlight w:val="yellow"/>
        </w:rPr>
        <w:t>FINAL EVIDENCE CHECK: Replace every yellow instruction with a verified link, screenshot/video, test output, dated record or an explicit “not yet available” status. Remove instruction text before final submission; do not remove an important limitation.</w:t>
      </w:r>
    </w:p>
    <w:sectPr w:rsidR="00FC693F" w:rsidRPr="0006063C" w:rsidSect="00034616">
      <w:headerReference w:type="default" r:id="rId9"/>
      <w:footerReference w:type="default" r:id="rId10"/>
      <w:pgSz w:w="11909" w:h="16834"/>
      <w:pgMar w:top="1138" w:right="1253" w:bottom="1138" w:left="125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666666"/>
        <w:sz w:val="18"/>
      </w:rPr>
      <w:t xml:space="preserve">Draft for team review  |  29 October 2026  |  Page </w:t>
    </w:r>
    <w:r>
      <w:rPr>
        <w:rFonts w:ascii="Times New Roman" w:hAnsi="Times New Roman" w:eastAsia="Times New Roman"/>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olor w:val="666666"/>
        <w:sz w:val="18"/>
      </w:rPr>
      <w:t>CO3103  |  DATH-261 GROUP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LingoSphere Interim Project Report — DATH-261 Group 12</dc:title>
  <dc:subject>CO3103 interim report, Semester 261</dc:subject>
  <dc:creator>DATH-261 Group 12</dc:creator>
  <cp:keywords>LingoSphere, interim report, learning analytics</cp:keywords>
  <dc:description>generated by python-docx</dc:description>
  <cp:lastModifiedBy/>
  <cp:revision>1</cp:revision>
  <dcterms:created xsi:type="dcterms:W3CDTF">2013-12-23T23:15:00Z</dcterms:created>
  <dcterms:modified xsi:type="dcterms:W3CDTF">2013-12-23T23:15:00Z</dcterms:modified>
  <cp:category/>
</cp:coreProperties>
</file>