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ef858ce55c5044ee7b8ba7aa0c7ba571c1f3ba"/>
    <w:p>
      <w:pPr>
        <w:pStyle w:val="Heading1"/>
      </w:pPr>
      <w:r>
        <w:t xml:space="preserve">Business Requirements Document — HL Restaurant Order Management System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Mục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Dự 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HL-OMS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Khách hàng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HL Restaurant, Sydney CBD, NSW, Úc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Phiên bản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1.0 — 27/11/2026 (baseline cuối Discovery)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Người lập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Business Analyst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Người duyệt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Chủ nhà hàng (Sponsor) · Quản lý nhà hàng (Product Owner)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Tài liệu liên quan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SRS · UAT Test Cases · RTM</w:t>
            </w:r>
          </w:p>
        </w:tc>
      </w:tr>
    </w:tbl>
    <w:bookmarkStart w:id="11" w:name="X8291021638e5c0ee7b47a0aaabc4b853f1da348"/>
    <w:p>
      <w:pPr>
        <w:pStyle w:val="Heading2"/>
      </w:pPr>
      <w:r>
        <w:t xml:space="preserve">1. Giới thiệu</w:t>
      </w:r>
    </w:p>
    <w:bookmarkStart w:id="9" w:name="X3d72fc9a81c63987ff4f456c29074dffd4a4694"/>
    <w:p>
      <w:pPr>
        <w:pStyle w:val="Heading3"/>
      </w:pPr>
      <w:r>
        <w:t xml:space="preserve">1.1 Mục đích</w:t>
      </w:r>
    </w:p>
    <w:p>
      <w:pPr>
        <w:pStyle w:val="FirstParagraph"/>
      </w:pPr>
      <w:r>
        <w:t xml:space="preserve">Tài liệu xác định nhu cầu kinh doanh, phạm vi và yêu cầu nghiệp vụ của hệ thống quản lý gọi món HL-OMS, làm căn cứ để Chủ nhà hàng phê duyệt phạm vi, ngân sách và để đội dự án lập SRS.</w:t>
      </w:r>
    </w:p>
    <w:bookmarkEnd w:id="9"/>
    <w:bookmarkStart w:id="10" w:name="Xfe346f7aac3238933c35323bc2c373e7b8dd95c"/>
    <w:p>
      <w:pPr>
        <w:pStyle w:val="Heading3"/>
      </w:pPr>
      <w:r>
        <w:t xml:space="preserve">1.2 Thuật ngữ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Thuật ngữ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Nghĩa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OMS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Order Management System — hệ thống quản lý gọi món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Kitchen Display System — màn hình hiển thị món tại bếp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Trạm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Khu chế biến: Bếp nóng · Bếp lạnh · Quầy nước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GST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Goods and Services Tax 10% của Úc, đã gồm trong giá menu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Phụ thu ngày lễ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Khoản cộng thêm 15% vào bill trong ngày lễ chính thức NSW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Tax invoice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Hóa đơn thuế theo quy định ATO, in khi khách yêu cầu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EFTPOS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Thanh toán thẻ/ví điện thoại qua máy POS của ngân hàng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Lunch Special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Giá trưa 11:00–15:00, thứ 2–6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Bàn ảo TA-xx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Mã đơn mang về</w:t>
            </w:r>
          </w:p>
        </w:tc>
      </w:tr>
    </w:tbl>
    <w:bookmarkEnd w:id="10"/>
    <w:bookmarkEnd w:id="11"/>
    <w:bookmarkStart w:id="12" w:name="X3a0a6e1ecfeed7fe7b2a2a1314e840c54f7f246"/>
    <w:p>
      <w:pPr>
        <w:pStyle w:val="Heading2"/>
      </w:pPr>
      <w:r>
        <w:t xml:space="preserve">2. Bối cảnh và vấn đề</w:t>
      </w:r>
    </w:p>
    <w:p>
      <w:pPr>
        <w:pStyle w:val="FirstParagraph"/>
      </w:pPr>
      <w:r>
        <w:t xml:space="preserve">HL Restaurant là nhà hàng Việt tại Sydney CBD, 22 bàn (~80 chỗ), mở cửa 11:00–22:30 hằng ngày, cao điểm tối thứ Sáu–thứ Bảy với đỉnh 45 đơn/giờ. Quy trình hiện tại dùng phiếu giấy 2 liên: phục vụ ghi và mang phiếu vào bếp, bếp gọi to khi món xong, thu ngân cộng bill bằng tay.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Vấn đề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Bằng chứng (Discovery)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Hệ quả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Sai, sót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3–5 lần/ngày; 24 lần làm lại/tuần; 41/912 phiếu ghi tắt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~AUD 900/tháng chi phí làm lại; 26% đánh giá xấu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Lên món chậm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Món đầu tiên sau TB 21–22 phút giờ cao điểm; phiếu chờ trên móc TB 3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42% đánh giá xấu nói về chờ lâu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Phục vụ chạy phiếu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≈ 95 phút đi bộ/ca tối chỉ để đưa phiếu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Ít thời gian chăm khách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Bill sai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1–2 lần/tuần; 2/50 hóa đơn ngày lễ thiếu phụ thu; 50/50 không ghi GST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Mất doanh thu, rủi ro tuân thủ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Hết món báo muộn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Khách biết sau 10–15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Khách không hài lòng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Dị ứng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 sự cố suýt xảy ra/năm; ghi chú ở lề phiếu bị che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Rủi ro an toàn thực phẩm, pháp lý</w:t>
            </w:r>
          </w:p>
        </w:tc>
      </w:tr>
    </w:tbl>
    <w:p>
      <w:pPr>
        <w:pStyle w:val="BodyText"/>
      </w:pPr>
      <w:r>
        <w:t xml:space="preserve">Nguồn: MOM-01, Elicitation Results, BACCM.</w:t>
      </w:r>
    </w:p>
    <w:bookmarkEnd w:id="12"/>
    <w:bookmarkStart w:id="13" w:name="X221b25c492682106a369ebca65211ae0beb3982"/>
    <w:p>
      <w:pPr>
        <w:pStyle w:val="Heading2"/>
      </w:pPr>
      <w:r>
        <w:t xml:space="preserve">3. Mục tiêu kinh doanh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Nhu cầu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Baseline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Mục tiêu 6 tháng sau go-live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đo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Giảm sai/sót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3–5 lần/ngày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≤ 1 lần/ngày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Sổ làm lại món, nhật ký hủy "Gọi nhầm/Món lỗi"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Rút ngắn thời gian lên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TB 22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TB ≤ 15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 thời gian gửi → sẵn sàng → phục vụ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Bill chính xác, đúng GST và phụ thu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1–2 lỗi/tuần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Khiếu nại bill, đối soát chốt ca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Kiểm soát hết món, hủy món, giảm giá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Không ghi nhận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100% có lý do và người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Nhật ký thao tác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An toàn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 sự cố suýt xảy ra/năm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0; 100% món dị ứng được bếp xác nhận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Nhật ký "Xác nhận dị ứng"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Số liệu quản trị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Cộng sổ ~25 phút/ca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 có ngay sau đóng ca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 ngày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BN-07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Tăng quay vòng bàn ca tối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+10%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Số lượt bàn ca tối T6–T7</w:t>
            </w:r>
          </w:p>
        </w:tc>
      </w:tr>
    </w:tbl>
    <w:bookmarkEnd w:id="13"/>
    <w:bookmarkStart w:id="16" w:name="X479175943ec47c4fe9a94e0bb297546eab966a4"/>
    <w:p>
      <w:pPr>
        <w:pStyle w:val="Heading2"/>
      </w:pPr>
      <w:r>
        <w:t xml:space="preserve">4. Phạm vi</w:t>
      </w:r>
    </w:p>
    <w:bookmarkStart w:id="14" w:name="X83bb534116bf1afd2c9569c37d82ef76fc32948"/>
    <w:p>
      <w:pPr>
        <w:pStyle w:val="Heading3"/>
      </w:pPr>
      <w:r>
        <w:t xml:space="preserve">4.1 Trong phạm vi (MVP, go-live 01/03/2027)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Business Case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Mô tả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Quy trình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BC-01 Gọi món tại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Mở bàn, gọi món, tùy chọn, dị ứng, gửi bếp, gọi thêm, chuyển/ghép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BP1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BC-02 Gọi món mang về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tại quầy, thu tiền trước, gửi bếp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BP1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BC-03 Chế biến và lên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KDS theo trạm, trạng thái món, cảnh báo trễ, thông báo phục vụ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BP2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BC-04 Hết món, đổi món, hủy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hết, chặn gọi, hủy có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BP4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BC-05 Thanh toán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Bill, GST, phụ thu, giảm giá, tách bill, EFTPOS/tiền mặt, tax invoice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BP3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BC-06 Cập nhật menu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Món, giá, Lunch Special, ngày lễ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BP5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BC-07 Chốt ca và báo cáo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Đối soát tiền mặt, doanh thu, món bán chạy, thời gian chế biến, nhật ký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BC-08 Quản trị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Tài khoản, 6 vai trò, PIN, nhật ký thao tác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—</w:t>
            </w:r>
          </w:p>
        </w:tc>
      </w:tr>
    </w:tbl>
    <w:bookmarkEnd w:id="14"/>
    <w:bookmarkStart w:id="15" w:name="X209eb5bf3a5c29fe5ed0bacfd0b52186583c21f"/>
    <w:p>
      <w:pPr>
        <w:pStyle w:val="Heading3"/>
      </w:pPr>
      <w:r>
        <w:t xml:space="preserve">4.2 Ngoài phạm vi</w:t>
      </w:r>
    </w:p>
    <w:p>
      <w:pPr>
        <w:pStyle w:val="FirstParagraph"/>
      </w:pPr>
      <w:r>
        <w:t xml:space="preserve">Khách tự gọi món qua QR · Đặt bàn online · Giao hàng qua ứng dụng · Tích hợp máy EFTPOS · Đồng bộ Xero · Quản lý kho nguyên liệu · Khách hàng thân thiết · Quản lý tip · Lưu dữ liệu cá nhân của khách. Năm hạng mục đầu nằm trong backlog V2 (US-36 → US-40).</w:t>
      </w:r>
    </w:p>
    <w:bookmarkEnd w:id="15"/>
    <w:bookmarkEnd w:id="16"/>
    <w:bookmarkStart w:id="17" w:name="Xa9e3ec3227f31aab4b56d7cd28d15aa7f95c895"/>
    <w:p>
      <w:pPr>
        <w:pStyle w:val="Heading2"/>
      </w:pPr>
      <w:r>
        <w:t xml:space="preserve">5. Stakeholder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Stakeholder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Vai trò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Quan tâm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RACI (duyệt BRD)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Chủ nhà hàng (BOM)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Sponsor, duyệt cuối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ROI, chi phí, doanh thu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Quản lý nhà hàng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Product Owner, Admin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Vận hành, báo cáo, kiểm soát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Bếp trưởng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Chuyên gia nghiệp vụ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rõ ràng, điều phối,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Bếp, Phục vụ, Thu ngân, Pha chế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Người dùng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Thao tác nhanh, ít nhầm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Kế toán thuê ngoài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Tư vấn GST, tax invoice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Hóa đơn đúng luật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Khách hàng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Bị tác động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Lên món nhanh, đúng, an toàn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Vendor (PM, BA, Dev, QA)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Đội dự 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Yêu cầu rõ, ổn định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</w:t>
            </w:r>
          </w:p>
        </w:tc>
      </w:tr>
    </w:tbl>
    <w:p>
      <w:pPr>
        <w:pStyle w:val="BodyText"/>
      </w:pPr>
      <w:r>
        <w:t xml:space="preserve">Chi tiết: Stakeholder Analysis · RACI.</w:t>
      </w:r>
    </w:p>
    <w:bookmarkEnd w:id="17"/>
    <w:bookmarkStart w:id="34" w:name="X572cd7895c151925fc2f498174ce95a628d48f6"/>
    <w:p>
      <w:pPr>
        <w:pStyle w:val="Heading2"/>
      </w:pPr>
      <w:r>
        <w:t xml:space="preserve">6. Quy trình nghiệp vụ</w:t>
      </w:r>
    </w:p>
    <w:bookmarkStart w:id="21" w:name="Xd03a34ad3c1369cb631fc0eb5143dbdb8d51860"/>
    <w:p>
      <w:pPr>
        <w:pStyle w:val="Heading3"/>
      </w:pPr>
      <w:r>
        <w:t xml:space="preserve">6.1 As-Is — Gọi món bằng phiếu giấy</w:t>
      </w:r>
    </w:p>
    <w:p>
      <w:pPr>
        <w:pStyle w:val="FirstParagraph"/>
      </w:pPr>
      <w:r>
        <w:drawing>
          <wp:inline>
            <wp:extent cx="6261100" cy="2199520"/>
            <wp:effectExtent b="0" l="0" r="0" t="0"/>
            <wp:docPr descr="BP1 As-Is" title="" id="19" name="Picture"/>
            <a:graphic>
              <a:graphicData uri="http://schemas.openxmlformats.org/drawingml/2006/picture">
                <pic:pic>
                  <pic:nvPicPr>
                    <pic:cNvPr descr="C:/Users/LENOVO/hl-oms-ba/04_Business_Process/diagrams/BP1_A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9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b8c60f48719073a46b469edb1a94f2df5cce6b8"/>
    <w:p>
      <w:pPr>
        <w:pStyle w:val="Heading3"/>
      </w:pPr>
      <w:r>
        <w:t xml:space="preserve">6.2 To-Be — Gọi món trên HL-OMS</w:t>
      </w:r>
    </w:p>
    <w:p>
      <w:pPr>
        <w:pStyle w:val="FirstParagraph"/>
      </w:pPr>
      <w:r>
        <w:drawing>
          <wp:inline>
            <wp:extent cx="6261100" cy="2236107"/>
            <wp:effectExtent b="0" l="0" r="0" t="0"/>
            <wp:docPr descr="BP1 To-Be" title="" id="23" name="Picture"/>
            <a:graphic>
              <a:graphicData uri="http://schemas.openxmlformats.org/drawingml/2006/picture">
                <pic:pic>
                  <pic:nvPicPr>
                    <pic:cNvPr descr="C:/Users/LENOVO/hl-oms-ba/04_Business_Process/diagrams/BP1_ToB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23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X165c52793d833889a6026b0d7999e73bef87826"/>
    <w:p>
      <w:pPr>
        <w:pStyle w:val="Heading3"/>
      </w:pPr>
      <w:r>
        <w:t xml:space="preserve">6.3 To-Be — Chế biến và lên món</w:t>
      </w:r>
    </w:p>
    <w:p>
      <w:pPr>
        <w:pStyle w:val="FirstParagraph"/>
      </w:pPr>
      <w:r>
        <w:drawing>
          <wp:inline>
            <wp:extent cx="6261100" cy="1987859"/>
            <wp:effectExtent b="0" l="0" r="0" t="0"/>
            <wp:docPr descr="BP2 To-Be" title="" id="27" name="Picture"/>
            <a:graphic>
              <a:graphicData uri="http://schemas.openxmlformats.org/drawingml/2006/picture">
                <pic:pic>
                  <pic:nvPicPr>
                    <pic:cNvPr descr="C:/Users/LENOVO/hl-oms-ba/04_Business_Process/diagrams/BP2_ToB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98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04ecb742f8738dc82b8b3588a021bc4dc480c39"/>
    <w:p>
      <w:pPr>
        <w:pStyle w:val="Heading3"/>
      </w:pPr>
      <w:r>
        <w:t xml:space="preserve">6.4 To-Be — Thanh toán</w:t>
      </w:r>
    </w:p>
    <w:p>
      <w:pPr>
        <w:pStyle w:val="FirstParagraph"/>
      </w:pPr>
      <w:r>
        <w:drawing>
          <wp:inline>
            <wp:extent cx="6261100" cy="1671908"/>
            <wp:effectExtent b="0" l="0" r="0" t="0"/>
            <wp:docPr descr="BP3 To-Be" title="" id="31" name="Picture"/>
            <a:graphic>
              <a:graphicData uri="http://schemas.openxmlformats.org/drawingml/2006/picture">
                <pic:pic>
                  <pic:nvPicPr>
                    <pic:cNvPr descr="C:/Users/LENOVO/hl-oms-ba/04_Business_Process/diagrams/BP3_ToB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671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Quy trình BP3 As-Is, BP4 (hết món, hủy món), BP5 (cập nhật menu) và mô tả từng bước: Business Process Analysis.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Chỉ số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As-Is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To-Be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tới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5–10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≤ 2 giây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Đi bộ đưa phiếu/ca tối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≈ 95 phút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Khách biết món hết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Sau 10–15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Ngay lúc gọi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Cộng bill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2–4 phút/bàn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≤ 30 giây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Hóa đơn ghi GST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0%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100%</w:t>
            </w:r>
          </w:p>
        </w:tc>
      </w:tr>
    </w:tbl>
    <w:bookmarkEnd w:id="33"/>
    <w:bookmarkEnd w:id="34"/>
    <w:bookmarkStart w:id="37" w:name="X7cd0d794a0e2995f7d5f09c534f7835dfc56316"/>
    <w:p>
      <w:pPr>
        <w:pStyle w:val="Heading2"/>
      </w:pPr>
      <w:r>
        <w:t xml:space="preserve">7. Yêu cầu nghiệp vụ</w:t>
      </w:r>
    </w:p>
    <w:p>
      <w:pPr>
        <w:pStyle w:val="FirstParagraph"/>
      </w:pPr>
      <w:r>
        <w:t xml:space="preserve">Yêu cầu được viết dưới dạng User Story kèm Acceptance Criteria (Product Backlog, Story Map). Bảng dưới tóm tắt theo Epic.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Epic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Yêu cầu nghiệp vụ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User Story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Ưu tiên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EP-01 Quản lý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Xem sơ đồ bàn theo trạng thái; mở bàn; chuyển, ghép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US-01 → US-03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Must/Should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EP-02 Gọi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Chọn món theo danh mục/tìm kiếm; tùy chọn, ghi chú; khai báo dị ứng; gửi bếp; gọi thêm; sửa/hủy; mang về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US-04 → US-11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EP-03 Theo dõi phục vụ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Nhận thông báo món sẵn sàng; xác nhận đã phục vụ; biết món hết khi gọi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US-12 → US-14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EP-04 Chế biến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Xem đơn theo trạm, thứ tự; xác nhận dị ứng; cập nhật trạng thái; thấy món trễ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US-15 → US-18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Must/Should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EP-05 Điều phối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Tổng hợp món chờ; báo hết, đặt số phần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US-19, US-20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Should/Must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EP-06 Thanh toán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Bill có GST, phụ thu; giảm giá; tách bill; thu tiền, hóa đơn; chốt ca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US-21 → US-25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Must/Should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EP-07 Quản lý menu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Món, danh mục, tùy chọn, dị ứng, trạm; giá Lunch Special; ngày lễ, phụ thu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US-26 → US-28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Must/Should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EP-08 Kiểm soát, báo cáo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Duyệt hủy/giảm giá; doanh thu, CSV; món bán chạy, thời gian chế biến; nhật ký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US-29 → US-32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Must/Should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EP-09 Quản trị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Tài khoản, vai trò, PIN; nhật ký thao tác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US-33, US-34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EP-10 Vận hành liên tục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Tiếp tục làm việc khi mất internet; in phiếu dự phòng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US-35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Must</w:t>
            </w:r>
          </w:p>
        </w:tc>
      </w:tr>
    </w:tbl>
    <w:bookmarkStart w:id="35" w:name="X72c8929fd45af210cdf028619ebb12430a01f85"/>
    <w:p>
      <w:pPr>
        <w:pStyle w:val="Heading3"/>
      </w:pPr>
      <w:r>
        <w:t xml:space="preserve">7.1 Quy tắc nghiệp vụ chính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Quy tắc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Chỉ gọi được món Còn bán AND còn phần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Chỉ bắt đầu nấu khi món không có dị ứng OR bếp đã xác nhận đọc dị ứng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Hủy món Đang nấu OR Sẵn sàng OR Đã phục vụ cần Quản lý duyệt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BR-09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GST = Tổng ÷ 11 (giá đã gồm GST)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Ngày lễ NSW: phụ thu 15% × (Tạm tính − Giảm giá), ghi rõ trên menu và bill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Giảm &gt; 10% OR miễn phí món cần Quản lý duyệt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Thanh toán khi mọi món Đã phục vụ/Đã hủy AND không còn chờ duyệt AND khách xác nhận bill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mang về thu tiền trước khi gửi bếp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Tách bill theo món XOR chia đều (2–10 phần), phần cuối nhận số lẻ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Tiền mặt làm tròn tới 5 cent gần nhất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BR-16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Tax invoice đủ trường theo ATO khi khách yêu cầu</w:t>
            </w:r>
          </w:p>
        </w:tc>
      </w:tr>
    </w:tbl>
    <w:p>
      <w:pPr>
        <w:pStyle w:val="BodyText"/>
      </w:pPr>
      <w:r>
        <w:t xml:space="preserve">Danh mục đầy đủ 21 quy tắc: Business Rules.</w:t>
      </w:r>
    </w:p>
    <w:bookmarkEnd w:id="35"/>
    <w:bookmarkStart w:id="36" w:name="X2575b723e4c3bddbb780c616a068345814081cd"/>
    <w:p>
      <w:pPr>
        <w:pStyle w:val="Heading3"/>
      </w:pPr>
      <w:r>
        <w:t xml:space="preserve">7.2 Yêu cầu phi chức năng mức nghiệp vụ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Nhóm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Hiệu năng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tới bếp ≤ 2 giây; chịu 60 đơn/giờ (1,3 × cao điểm)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Khả dụng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≥ 99,5% trong giờ mở cửa; chạy tiếp ≥ 60 phút khi mất internet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Dễ dùng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Nhân viên mới thành thạo ≤ 30 phút; ≤ 3 chạm thêm món phổ biến; song ngữ EN/VI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Bảo mật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Phân quyền 6 vai trò; PIN cá nhân; nhật ký 100% thao tác nhạy cảm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Tuân thủ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GST, tax invoice (ATO); thông báo phụ thu (ACCC); thông tin dị ứng (FSANZ Std 1.2.3); dữ liệu lưu tại Úc (Privacy Act 1988)</w:t>
            </w:r>
          </w:p>
        </w:tc>
      </w:tr>
    </w:tbl>
    <w:p>
      <w:pPr>
        <w:pStyle w:val="BodyText"/>
      </w:pPr>
      <w:r>
        <w:t xml:space="preserve">Chi tiết 23 NFR đo được: NFR.</w:t>
      </w:r>
    </w:p>
    <w:bookmarkEnd w:id="36"/>
    <w:bookmarkEnd w:id="37"/>
    <w:bookmarkStart w:id="38" w:name="Xdbcd28fe1a88a73300356d4bd81006fef420a63"/>
    <w:p>
      <w:pPr>
        <w:pStyle w:val="Heading2"/>
      </w:pPr>
      <w:r>
        <w:t xml:space="preserve">8. Giả định, ràng buộc, phụ thuộc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Loại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Giả định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25 giả định đã xác nhận ở MOM-01 (Assumption Log)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Ràng buộc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Ngân sách phần mềm ≤ AUD 45.000 · Go-live 01/03/2027, không triển khai mùa Giáng sinh–Tết · Không có IT nội bộ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Phụ thuộc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Phần cứng (5 điện thoại, 2 KDS, 1 tablet, máy in nhiệt) mua trước 15/02/2027 · Wi-Fi tách SSID cho thiết bị OMS · Kế toán xác nhận mẫu hóa đơn (đã xong 09/11/2026)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Câu hỏi mở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Q-041: 26/04/2027 có là ngày lễ NSW — Quản lý xác nhận trước 01/04/2027</w:t>
            </w:r>
          </w:p>
        </w:tc>
      </w:tr>
    </w:tbl>
    <w:bookmarkEnd w:id="38"/>
    <w:bookmarkStart w:id="39" w:name="X8b569fac28d3b34906bf7fc36281976a1d239eb"/>
    <w:p>
      <w:pPr>
        <w:pStyle w:val="Heading2"/>
      </w:pPr>
      <w:r>
        <w:t xml:space="preserve">9. Rủi ro chính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Rủi ro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Mức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Ứng phó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Mất internet giờ cao điểm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Cao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Hub mạng nội bộ, in phiếu dự phòng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Nhân viên phản đối thay đổi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TB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User testing, chạy song song phiếu giấy 1 tuần, đào tạo ≤ 30 phút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Sót cảnh báo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Bắt buộc xác nhận trên KDS, TC High trong UAT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RK-10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Dữ liệu menu sai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TB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Bếp trưởng rà 72 món trước go-live</w:t>
            </w:r>
          </w:p>
        </w:tc>
      </w:tr>
    </w:tbl>
    <w:p>
      <w:pPr>
        <w:pStyle w:val="BodyText"/>
      </w:pPr>
      <w:r>
        <w:t xml:space="preserve">Đầy đủ 14 rủi ro: Risk Register.</w:t>
      </w:r>
    </w:p>
    <w:bookmarkEnd w:id="39"/>
    <w:bookmarkStart w:id="40" w:name="X60b03099e4028fa117c516b9533f8a78c8d076f"/>
    <w:p>
      <w:pPr>
        <w:pStyle w:val="Heading2"/>
      </w:pPr>
      <w:r>
        <w:t xml:space="preserve">10. Lợi ích và chi phí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Khoản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Năm 1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Chi phí phần mềm (triển khai)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AUD 42.000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Phần cứng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AUD 4.500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Thuê bao + hỗ trợ (từ tháng 4)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AUD 2.700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Tổng chi phí năm 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AUD 49.200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Lợi ích ước tính/năm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AUD 40.700 khi đạt mục tiêu (năm 1 tính 80%): giảm làm lại món, giảm thất thoát bill, tăng lượt bàn ca tối, rút ngắn chốt ca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Hoàn vốn · NPV 3 năm (8%)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~18 tháng · AUD 45.900</w:t>
            </w:r>
          </w:p>
        </w:tc>
      </w:tr>
    </w:tbl>
    <w:p>
      <w:pPr>
        <w:pStyle w:val="BodyText"/>
      </w:pPr>
      <w:r>
        <w:t xml:space="preserve">Chi tiết và giả định tính toán: Business Case.</w:t>
      </w:r>
    </w:p>
    <w:bookmarkEnd w:id="40"/>
    <w:bookmarkStart w:id="41" w:name="Xac52d7ec5c1797d6da78fab54f8e29515494a68"/>
    <w:p>
      <w:pPr>
        <w:pStyle w:val="Heading2"/>
      </w:pPr>
      <w:r>
        <w:t xml:space="preserve">11. Phê duyệt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Vai trò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Họ tên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Quyết định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Ngày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Chủ nhà hàng (Sponsor)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Phê duyệt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27/11/2026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Quản lý nhà hàng (PO)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Phê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27/11/2026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Project Manager (vendor)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Xác nhận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27/11/2026</w:t>
            </w:r>
          </w:p>
        </w:tc>
      </w:tr>
    </w:tbl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964" w:left="1020" w:right="1020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6"/>
      </w:rPr>
      <w:t xml:space="preserve">HL-OMS · BRD · 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Segoe UI" w:eastAsia="Segoe UI" w:hAnsi="Segoe UI"/>
      <w:color w:val="1F2937"/>
      <w:sz w:val="20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Segoe UI" w:eastAsia="Segoe UI" w:hAnsi="Segoe U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Segoe UI" w:eastAsia="Segoe UI" w:hAnsi="Segoe UI"/>
      <w:color w:val="1F2937"/>
      <w:sz w:val="20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Segoe UI" w:eastAsia="Segoe UI" w:hAnsi="Segoe UI"/>
      <w:color w:val="1F2937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b/>
      <w:color w:val="1F2937"/>
      <w:sz w:val="36"/>
      <w:szCs w:val="40"/>
      <w:rFonts w:ascii="Segoe UI" w:cs="Segoe UI" w:eastAsia="Segoe UI" w:hAnsi="Segoe U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b/>
      <w:color w:val="B4451F"/>
      <w:sz w:val="28"/>
      <w:szCs w:val="32"/>
      <w:rFonts w:ascii="Segoe UI" w:cs="Segoe UI" w:eastAsia="Segoe UI" w:hAnsi="Segoe U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b/>
      <w:color w:val="1F2937"/>
      <w:sz w:val="24"/>
      <w:szCs w:val="28"/>
      <w:rFonts w:ascii="Segoe UI" w:cs="Segoe UI" w:eastAsia="Segoe UI" w:hAnsi="Segoe UI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b/>
      <w:i/>
      <w:iCs/>
      <w:color w:val="1F2937"/>
      <w:sz w:val="22"/>
      <w:rFonts w:ascii="Segoe UI" w:cs="Segoe UI" w:eastAsia="Segoe UI" w:hAnsi="Segoe UI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/>
      <w:outlineLvl w:val="4"/>
    </w:pPr>
    <w:rPr>
      <w:b/>
      <w:color w:val="1F2937"/>
      <w:sz w:val="21"/>
      <w:rFonts w:ascii="Segoe UI" w:cs="Segoe UI" w:eastAsia="Segoe UI" w:hAnsi="Segoe UI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/>
      <w:outlineLvl w:val="5"/>
    </w:pPr>
    <w:rPr>
      <w:b/>
      <w:i/>
      <w:iCs/>
      <w:color w:val="1F2937"/>
      <w:sz w:val="20"/>
      <w:rFonts w:ascii="Segoe UI" w:cs="Segoe UI" w:eastAsia="Segoe UI" w:hAnsi="Segoe UI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HL-OMS BRD</dc:title>
  <dc:creator>Business Analyst</dc:creator>
  <cp:keywords/>
  <dcterms:created xsi:type="dcterms:W3CDTF">2026-10-19T21:53:04Z</dcterms:created>
  <dcterms:modified xsi:type="dcterms:W3CDTF">2026-10-19T21:53:04Z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