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hướng-dẫn-nhanh--hl-oms"/>
    <w:p>
      <w:pPr>
        <w:pStyle w:val="Heading1"/>
      </w:pPr>
      <w:r>
        <w:t xml:space="preserve">Hướng dẫn nhanh — HL-OMS</w:t>
      </w:r>
    </w:p>
    <w:p>
      <w:pPr>
        <w:pStyle w:val="FirstParagraph"/>
      </w:pPr>
      <w:r>
        <w:t xml:space="preserve">Mỗi vai trò một mục, in một trang dán tại nơi làm việc (NFR-18). Đăng nhập: chọn tên → nhập PIN. Máy tự khóa sau 2 phút không dùng.</w:t>
      </w:r>
    </w:p>
    <w:bookmarkStart w:id="9" w:name="phục-vụ"/>
    <w:p>
      <w:pPr>
        <w:pStyle w:val="Heading2"/>
      </w:pPr>
      <w:r>
        <w:t xml:space="preserve">Phục vụ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D1D5DB"/>
          <w:bottom w:val="single" w:sz="4" w:color="D1D5DB"/>
          <w:insideH w:val="single" w:sz="4" w:color="D1D5DB"/>
          <w:left w:val="nil" w:sz="4" w:color="D1D5DB"/>
          <w:right w:val="nil" w:sz="4" w:color="D1D5DB"/>
          <w:insideV w:val="nil" w:sz="4" w:color="D1D5DB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Việc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Cách làm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Mở bàn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Sơ đồ bàn → chạm bàn xám (Trống) → số khách →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Mở bàn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Gọi món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b/>
                <w:bCs/>
                <w:sz w:val="17"/>
              </w:rPr>
              <w:t xml:space="preserve">+ Gọi món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chọn danh mục hoặc gõ tên (không cần dấu) → món có tùy chọn: chạm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Chọn</w:t>
            </w:r>
            <w:r>
              <w:rPr>
                <w:sz w:val="17"/>
              </w:rPr>
              <w:t xml:space="preserve">; món thường: chạm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+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Dị ứng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Trong bảng chi tiết món, chọn chất khách dị ứng. Thấy khung vàng "Món có chứa…" → báo khách đổi món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Gửi bếp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Đơn của bàn → kiểm tra với khách →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Gửi bếp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Món xong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Điện thoại rung → mang món →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Đã mang ra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Hủy món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Món Chờ nấu: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Hủy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 lý do. Món đã nấu: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Yêu cầu hủy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chờ Quản lý duyệt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Chuyển / ghép bàn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Đơn của bàn →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⋯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chọn bàn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Dọn bàn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Bàn tím (Cần dọn) →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Đã dọn</w:t>
            </w:r>
          </w:p>
        </w:tc>
      </w:tr>
    </w:tbl>
    <w:bookmarkEnd w:id="9"/>
    <w:bookmarkStart w:id="10" w:name="bếp"/>
    <w:p>
      <w:pPr>
        <w:pStyle w:val="Heading2"/>
      </w:pPr>
      <w:r>
        <w:t xml:space="preserve">Bếp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D1D5DB"/>
          <w:bottom w:val="single" w:sz="4" w:color="D1D5DB"/>
          <w:insideH w:val="single" w:sz="4" w:color="D1D5DB"/>
          <w:left w:val="nil" w:sz="4" w:color="D1D5DB"/>
          <w:right w:val="nil" w:sz="4" w:color="D1D5DB"/>
          <w:insideV w:val="nil" w:sz="4" w:color="D1D5DB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Việc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Cách làm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Chọn trạm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Chạm tab Bếp nóng / Bếp lạnh / Quầy nước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Nấu món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Chạm món: Chờ nấu →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Đang nấu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Sẵn sàng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Dải đỏ DỊ ỨNG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Đọc kỹ →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ĐÃ ĐỌC DỊ ỨNG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mới nấu được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Phiếu cam / đỏ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Món đang trễ — làm trước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Cả phiếu xong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b/>
                <w:bCs/>
                <w:sz w:val="17"/>
              </w:rPr>
              <w:t xml:space="preserve">Xong cả phiếu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Màn hình lỗi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Chạm 🖨 để in phiếu, báo Bếp trưởng</w:t>
            </w:r>
          </w:p>
        </w:tc>
      </w:tr>
    </w:tbl>
    <w:bookmarkEnd w:id="10"/>
    <w:bookmarkStart w:id="11" w:name="bếp-trưởng"/>
    <w:p>
      <w:pPr>
        <w:pStyle w:val="Heading2"/>
      </w:pPr>
      <w:r>
        <w:t xml:space="preserve">Bếp trưởng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D1D5DB"/>
          <w:bottom w:val="single" w:sz="4" w:color="D1D5DB"/>
          <w:insideH w:val="single" w:sz="4" w:color="D1D5DB"/>
          <w:left w:val="nil" w:sz="4" w:color="D1D5DB"/>
          <w:right w:val="nil" w:sz="4" w:color="D1D5DB"/>
          <w:insideV w:val="nil" w:sz="4" w:color="D1D5DB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Việc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Cách làm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Xem món đang chờ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Tab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Tổng hợp &amp; tình trạng món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Hết món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b/>
                <w:bCs/>
                <w:sz w:val="17"/>
              </w:rPr>
              <w:t xml:space="preserve">Hết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mọi điện thoại chặn món ngay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Còn ít phần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b/>
                <w:bCs/>
                <w:sz w:val="17"/>
              </w:rPr>
              <w:t xml:space="preserve">Số phần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nhập số; về 0 tự chuyển Hết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Bán lại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b/>
                <w:bCs/>
                <w:sz w:val="17"/>
              </w:rPr>
              <w:t xml:space="preserve">Mở bán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Bấm nhầm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Chạm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↶ Hoàn tác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dưới món</w:t>
            </w:r>
          </w:p>
        </w:tc>
      </w:tr>
    </w:tbl>
    <w:bookmarkEnd w:id="11"/>
    <w:bookmarkStart w:id="12" w:name="thu-ngân"/>
    <w:p>
      <w:pPr>
        <w:pStyle w:val="Heading2"/>
      </w:pPr>
      <w:r>
        <w:t xml:space="preserve">Thu ngân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D1D5DB"/>
          <w:bottom w:val="single" w:sz="4" w:color="D1D5DB"/>
          <w:insideH w:val="single" w:sz="4" w:color="D1D5DB"/>
          <w:left w:val="nil" w:sz="4" w:color="D1D5DB"/>
          <w:right w:val="nil" w:sz="4" w:color="D1D5DB"/>
          <w:insideV w:val="nil" w:sz="4" w:color="D1D5DB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Việc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Cách làm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Tính tiền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Bàn và bill → chọn bàn. Nếu có khung đỏ: còn món chưa phục vụ, báo phục vụ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Giảm giá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b/>
                <w:bCs/>
                <w:sz w:val="17"/>
              </w:rPr>
              <w:t xml:space="preserve">Giảm giá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% hoặc số tiền + lý do. Trên 10%: chờ Quản lý duyệt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In bill tạm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b/>
                <w:bCs/>
                <w:sz w:val="17"/>
              </w:rPr>
              <w:t xml:space="preserve">In bill tạm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cho khách kiểm tra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Tách bill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b/>
                <w:bCs/>
                <w:sz w:val="17"/>
              </w:rPr>
              <w:t xml:space="preserve">Tách bill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Theo món (chọn phần, chạm món) hoặc Chia đều (số phần)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Thu tiền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b/>
                <w:bCs/>
                <w:sz w:val="17"/>
              </w:rPr>
              <w:t xml:space="preserve">Thanh toán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EFTPOS (quẹt máy rồi xác nhận) hoặc Tiền mặt (nhập tiền khách đưa) → tick tax invoice nếu khách cần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Mang về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Tab Mang về →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+ Đơn mang về mới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chọn món →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Thu tiền và gửi bếp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Chốt ca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Tab Chốt ca → nhập tiền mặt đếm được → lệch trên $5 ghi lý do →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Chốt ca</w:t>
            </w:r>
          </w:p>
        </w:tc>
      </w:tr>
    </w:tbl>
    <w:bookmarkEnd w:id="12"/>
    <w:bookmarkStart w:id="13" w:name="quản-lý"/>
    <w:p>
      <w:pPr>
        <w:pStyle w:val="Heading2"/>
      </w:pPr>
      <w:r>
        <w:t xml:space="preserve">Quản lý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D1D5DB"/>
          <w:bottom w:val="single" w:sz="4" w:color="D1D5DB"/>
          <w:insideH w:val="single" w:sz="4" w:color="D1D5DB"/>
          <w:left w:val="nil" w:sz="4" w:color="D1D5DB"/>
          <w:right w:val="nil" w:sz="4" w:color="D1D5DB"/>
          <w:insideV w:val="nil" w:sz="4" w:color="D1D5DB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Việc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Cách làm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Duyệt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Duyệt yêu cầu →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Duyệt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Từ chối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Sửa menu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Quản lý menu →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Sửa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lưu (giá mới chỉ áp cho món gọi sau đó)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Ngày lễ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Cấu hình → kiểm tra lịch ngày lễ, mức phụ thu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Báo cáo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Báo cáo → xem →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Xuất 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gửi kế toán</w:t>
            </w:r>
          </w:p>
        </w:tc>
      </w:tr>
    </w:tbl>
    <w:bookmarkEnd w:id="13"/>
    <w:bookmarkStart w:id="14" w:name="admin"/>
    <w:p>
      <w:pPr>
        <w:pStyle w:val="Heading2"/>
      </w:pPr>
      <w:r>
        <w:t xml:space="preserve">Admin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D1D5DB"/>
          <w:bottom w:val="single" w:sz="4" w:color="D1D5DB"/>
          <w:insideH w:val="single" w:sz="4" w:color="D1D5DB"/>
          <w:left w:val="nil" w:sz="4" w:color="D1D5DB"/>
          <w:right w:val="nil" w:sz="4" w:color="D1D5DB"/>
          <w:insideV w:val="nil" w:sz="4" w:color="D1D5DB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Việc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7"/>
              </w:rPr>
              <w:t xml:space="preserve">Cách làm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Thêm nhân viên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Người dùng →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+ Thêm người dùng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vai trò, PIN 4–6 số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Nhân viên nghỉ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b/>
                <w:bCs/>
                <w:sz w:val="17"/>
              </w:rPr>
              <w:t xml:space="preserve">Khóa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tài khoản ngay ngày nghỉ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7"/>
              </w:rPr>
              <w:t xml:space="preserve">Quên PIN / bị khóa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b/>
                <w:bCs/>
                <w:sz w:val="17"/>
              </w:rPr>
              <w:t xml:space="preserve">Đặt lại PIN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Tra cứu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7"/>
              </w:rPr>
              <w:t xml:space="preserve">Nhật ký thao tác → lọc theo thao tác</w:t>
            </w:r>
          </w:p>
        </w:tc>
      </w:tr>
    </w:tbl>
    <w:bookmarkEnd w:id="14"/>
    <w:bookmarkEnd w:id="15"/>
    <w:sectPr>
      <w:footerReference w:type="default" r:id="rId9"/>
      <w:footnotePr>
        <w:numRestart w:val="eachSect"/>
      </w:footnotePr>
      <w:pgSz w:h="16838" w:w="11906"/>
      <w:pgMar w:bottom="964" w:left="1020" w:right="1020" w:top="9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B7280"/>
        <w:sz w:val="16"/>
      </w:rPr>
      <w:t xml:space="preserve">HL-OMS · User-Guide · Trang </w:t>
    </w: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/>
    </w:pPr>
    <w:rPr>
      <w:rFonts w:ascii="Segoe UI" w:eastAsia="Segoe UI" w:hAnsi="Segoe UI"/>
      <w:color w:val="1F2937"/>
      <w:sz w:val="20"/>
    </w:rPr>
  </w:style>
  <w:style w:styleId="BodyText" w:type="paragraph">
    <w:name w:val="Body Text"/>
    <w:basedOn w:val="Normal"/>
    <w:link w:val="BodyTextChar"/>
    <w:qFormat/>
    <w:pPr>
      <w:spacing w:after="80" w:before="180"/>
    </w:pPr>
    <w:rPr>
      <w:rFonts w:ascii="Segoe UI" w:eastAsia="Segoe UI" w:hAnsi="Segoe UI"/>
      <w:color w:val="1F2937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80"/>
    </w:pPr>
    <w:rPr>
      <w:rFonts w:ascii="Segoe UI" w:eastAsia="Segoe UI" w:hAnsi="Segoe UI"/>
      <w:color w:val="1F2937"/>
      <w:sz w:val="20"/>
    </w:rPr>
  </w:style>
  <w:style w:customStyle="1" w:styleId="Compact" w:type="paragraph">
    <w:name w:val="Compact"/>
    <w:basedOn w:val="BodyText"/>
    <w:qFormat/>
    <w:pPr>
      <w:spacing w:after="80" w:before="36"/>
    </w:pPr>
    <w:rPr>
      <w:rFonts w:ascii="Segoe UI" w:eastAsia="Segoe UI" w:hAnsi="Segoe UI"/>
      <w:color w:val="1F2937"/>
      <w:sz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80"/>
      <w:outlineLvl w:val="0"/>
    </w:pPr>
    <w:rPr>
      <w:b/>
      <w:color w:val="1F2937"/>
      <w:sz w:val="36"/>
      <w:szCs w:val="40"/>
      <w:rFonts w:ascii="Segoe UI" w:cs="Segoe UI" w:eastAsia="Segoe UI" w:hAnsi="Segoe UI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80"/>
      <w:outlineLvl w:val="1"/>
    </w:pPr>
    <w:rPr>
      <w:b/>
      <w:color w:val="B4451F"/>
      <w:sz w:val="28"/>
      <w:szCs w:val="32"/>
      <w:rFonts w:ascii="Segoe UI" w:cs="Segoe UI" w:eastAsia="Segoe UI" w:hAnsi="Segoe UI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00"/>
      <w:outlineLvl w:val="2"/>
    </w:pPr>
    <w:rPr>
      <w:b/>
      <w:color w:val="1F2937"/>
      <w:sz w:val="24"/>
      <w:szCs w:val="28"/>
      <w:rFonts w:ascii="Segoe UI" w:cs="Segoe UI" w:eastAsia="Segoe UI" w:hAnsi="Segoe UI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00"/>
      <w:outlineLvl w:val="3"/>
    </w:pPr>
    <w:rPr>
      <w:b/>
      <w:i/>
      <w:iCs/>
      <w:color w:val="1F2937"/>
      <w:sz w:val="22"/>
      <w:rFonts w:ascii="Segoe UI" w:cs="Segoe UI" w:eastAsia="Segoe UI" w:hAnsi="Segoe UI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120" w:before="200"/>
      <w:outlineLvl w:val="4"/>
    </w:pPr>
    <w:rPr>
      <w:b/>
      <w:color w:val="1F2937"/>
      <w:sz w:val="21"/>
      <w:rFonts w:ascii="Segoe UI" w:cs="Segoe UI" w:eastAsia="Segoe UI" w:hAnsi="Segoe UI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120" w:before="200"/>
      <w:outlineLvl w:val="5"/>
    </w:pPr>
    <w:rPr>
      <w:b/>
      <w:i/>
      <w:iCs/>
      <w:color w:val="1F2937"/>
      <w:sz w:val="20"/>
      <w:rFonts w:ascii="Segoe UI" w:cs="Segoe UI" w:eastAsia="Segoe UI" w:hAnsi="Segoe UI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HL-OMS User-Guide</dc:title>
  <dc:creator>Business Analyst</dc:creator>
  <cp:keywords/>
  <dcterms:created xsi:type="dcterms:W3CDTF">2026-10-19T21:53:18Z</dcterms:created>
  <dcterms:modified xsi:type="dcterms:W3CDTF">2026-10-19T21:53:18Z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