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 Credit BRD Cheat Sheet</w:t>
      </w:r>
    </w:p>
    <w:p>
      <w:pPr>
        <w:pStyle w:val="Heading1"/>
      </w:pPr>
      <w:r>
        <w:t>Tiếng Việt (POS / hiện trường)</w:t>
      </w:r>
    </w:p>
    <w:p>
      <w:pPr>
        <w:pStyle w:val="ListNumber"/>
      </w:pPr>
      <w:r>
        <w:t>1. Bắt đầu bằng vấn đề — không bắt đầu bằng hệ thống</w:t>
      </w:r>
    </w:p>
    <w:p>
      <w:pPr>
        <w:pStyle w:val="ListNumber"/>
      </w:pPr>
      <w:r>
        <w:t>2. Có số liệu: %, giờ, số KH</w:t>
      </w:r>
    </w:p>
    <w:p>
      <w:pPr>
        <w:pStyle w:val="ListNumber"/>
      </w:pPr>
      <w:r>
        <w:t>3. Ghi rõ ai dùng: vai trò, số người, địa điểm</w:t>
      </w:r>
    </w:p>
    <w:p>
      <w:pPr>
        <w:pStyle w:val="ListNumber"/>
      </w:pPr>
      <w:r>
        <w:t>4. Quy tắc nghiệp vụ: ai duyệt, giờ cắt, ngoại lệ</w:t>
      </w:r>
    </w:p>
    <w:p>
      <w:pPr>
        <w:pStyle w:val="ListNumber"/>
      </w:pPr>
      <w:r>
        <w:t>5. Trong phạm vi + ngoài phạm vi</w:t>
      </w:r>
    </w:p>
    <w:p>
      <w:pPr>
        <w:pStyle w:val="ListNumber"/>
      </w:pPr>
      <w:r>
        <w:t>6. Dữ liệu &amp; tuân thủ: PII, CIC, SMS</w:t>
      </w:r>
    </w:p>
    <w:p>
      <w:pPr>
        <w:pStyle w:val="ListNumber"/>
      </w:pPr>
      <w:r>
        <w:t>7. Tiêu chí nghiệm thu: Cho trước / Khi / Thì (≥5)</w:t>
      </w:r>
    </w:p>
    <w:p>
      <w:pPr>
        <w:pStyle w:val="ListNumber"/>
      </w:pPr>
      <w:r>
        <w:t>8. Xin Sponsor (Giám đốc+) ký trước khi gửi IT</w:t>
      </w:r>
    </w:p>
    <w:p>
      <w:pPr>
        <w:pStyle w:val="Heading1"/>
      </w:pPr>
      <w:r>
        <w:t>English (HQ / Digital / Collections)</w:t>
      </w:r>
    </w:p>
    <w:p>
      <w:pPr>
        <w:pStyle w:val="ListNumber"/>
      </w:pPr>
      <w:r>
        <w:t>1. Start with the problem, not the system</w:t>
      </w:r>
    </w:p>
    <w:p>
      <w:pPr>
        <w:pStyle w:val="ListNumber"/>
      </w:pPr>
      <w:r>
        <w:t>2. Quantify impact: %, hours, customers, VND</w:t>
      </w:r>
    </w:p>
    <w:p>
      <w:pPr>
        <w:pStyle w:val="ListNumber"/>
      </w:pPr>
      <w:r>
        <w:t>3. Define who uses it: role, count, location</w:t>
      </w:r>
    </w:p>
    <w:p>
      <w:pPr>
        <w:pStyle w:val="ListNumber"/>
      </w:pPr>
      <w:r>
        <w:t>4. Document business rules: approval, cut-off, exceptions</w:t>
      </w:r>
    </w:p>
    <w:p>
      <w:pPr>
        <w:pStyle w:val="ListNumber"/>
      </w:pPr>
      <w:r>
        <w:t>5. Write in-scope AND out-of-scope</w:t>
      </w:r>
    </w:p>
    <w:p>
      <w:pPr>
        <w:pStyle w:val="ListNumber"/>
      </w:pPr>
      <w:r>
        <w:t>6. Complete data &amp; compliance section honestly</w:t>
      </w:r>
    </w:p>
    <w:p>
      <w:pPr>
        <w:pStyle w:val="ListNumber"/>
      </w:pPr>
      <w:r>
        <w:t>7. Add acceptance criteria: Given/When/Then (min 5)</w:t>
      </w:r>
    </w:p>
    <w:p>
      <w:pPr>
        <w:pStyle w:val="ListNumber"/>
      </w:pPr>
      <w:r>
        <w:t>8. Get Sponsor sign-off before IT intake</w:t>
      </w:r>
    </w:p>
    <w:p>
      <w:pPr>
        <w:pStyle w:val="Heading1"/>
      </w:pPr>
      <w:r>
        <w:t>Compliance triggers → Route 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If BRD includes...</w:t>
            </w:r>
          </w:p>
        </w:tc>
        <w:tc>
          <w:tcPr>
            <w:tcW w:type="dxa" w:w="4320"/>
          </w:tcPr>
          <w:p>
            <w:r>
              <w:t>Route to</w:t>
            </w:r>
          </w:p>
        </w:tc>
      </w:tr>
      <w:tr>
        <w:tc>
          <w:tcPr>
            <w:tcW w:type="dxa" w:w="4320"/>
          </w:tcPr>
          <w:p>
            <w:r>
              <w:t>Loan approval / disbursement change</w:t>
            </w:r>
          </w:p>
        </w:tc>
        <w:tc>
          <w:tcPr>
            <w:tcW w:type="dxa" w:w="4320"/>
          </w:tcPr>
          <w:p>
            <w:r>
              <w:t>Risk + Credit Policy</w:t>
            </w:r>
          </w:p>
        </w:tc>
      </w:tr>
      <w:tr>
        <w:tc>
          <w:tcPr>
            <w:tcW w:type="dxa" w:w="4320"/>
          </w:tcPr>
          <w:p>
            <w:r>
              <w:t>Interest / fees / contract change</w:t>
            </w:r>
          </w:p>
        </w:tc>
        <w:tc>
          <w:tcPr>
            <w:tcW w:type="dxa" w:w="4320"/>
          </w:tcPr>
          <w:p>
            <w:r>
              <w:t>Legal + Finance</w:t>
            </w:r>
          </w:p>
        </w:tc>
      </w:tr>
      <w:tr>
        <w:tc>
          <w:tcPr>
            <w:tcW w:type="dxa" w:w="4320"/>
          </w:tcPr>
          <w:p>
            <w:r>
              <w:t>Customer SMS / email</w:t>
            </w:r>
          </w:p>
        </w:tc>
        <w:tc>
          <w:tcPr>
            <w:tcW w:type="dxa" w:w="4320"/>
          </w:tcPr>
          <w:p>
            <w:r>
              <w:t>Legal (template)</w:t>
            </w:r>
          </w:p>
        </w:tc>
      </w:tr>
      <w:tr>
        <w:tc>
          <w:tcPr>
            <w:tcW w:type="dxa" w:w="4320"/>
          </w:tcPr>
          <w:p>
            <w:r>
              <w:t>Third-party data sharing</w:t>
            </w:r>
          </w:p>
        </w:tc>
        <w:tc>
          <w:tcPr>
            <w:tcW w:type="dxa" w:w="4320"/>
          </w:tcPr>
          <w:p>
            <w:r>
              <w:t>Vendor Risk + Legal</w:t>
            </w:r>
          </w:p>
        </w:tc>
      </w:tr>
      <w:tr>
        <w:tc>
          <w:tcPr>
            <w:tcW w:type="dxa" w:w="4320"/>
          </w:tcPr>
          <w:p>
            <w:r>
              <w:t>Collections / legal process</w:t>
            </w:r>
          </w:p>
        </w:tc>
        <w:tc>
          <w:tcPr>
            <w:tcW w:type="dxa" w:w="4320"/>
          </w:tcPr>
          <w:p>
            <w:r>
              <w:t>Compliance</w:t>
            </w:r>
          </w:p>
        </w:tc>
      </w:tr>
      <w:tr>
        <w:tc>
          <w:tcPr>
            <w:tcW w:type="dxa" w:w="4320"/>
          </w:tcPr>
          <w:p>
            <w:r>
              <w:t>Data on POS / home device</w:t>
            </w:r>
          </w:p>
        </w:tc>
        <w:tc>
          <w:tcPr>
            <w:tcW w:type="dxa" w:w="4320"/>
          </w:tcPr>
          <w:p>
            <w:r>
              <w:t>Security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