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1"/>
        <w:gridCol w:w="6802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[US-0004] </w:t>
            </w:r>
            <w:r>
              <w:rPr>
                <w:rFonts w:ascii="Arial" w:hAnsi="Arial"/>
                <w:sz w:val="24"/>
                <w:szCs w:val="24"/>
              </w:rPr>
              <w:t xml:space="preserve">Catálogo de Produtos </w:t>
            </w:r>
          </w:p>
        </w:tc>
      </w:tr>
      <w:tr>
        <w:trPr/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Hellen Taís de Souza Silva</w:t>
            </w:r>
          </w:p>
        </w:tc>
      </w:tr>
      <w:tr>
        <w:trPr/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Sistema EBAC-Shop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8"/>
        <w:gridCol w:w="6805"/>
      </w:tblGrid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 w:cs="Times New Roman" w:ascii="Arial" w:hAnsi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omo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cliente da EBAC-SHOP 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Quero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visualizar o catálogo de produtos 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escolher e adicionar itens ao meu carrinho 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1"/>
        <w:gridCol w:w="6452"/>
      </w:tblGrid>
      <w:tr>
        <w:trPr/>
        <w:tc>
          <w:tcPr>
            <w:tcW w:w="2051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  <w:r>
              <w:rPr>
                <w:rFonts w:eastAsia="Times New Roman" w:ascii="Arial" w:hAnsi="Arial"/>
                <w:b/>
                <w:bCs/>
                <w:color w:val="FFFFFF"/>
                <w:sz w:val="24"/>
                <w:szCs w:val="24"/>
              </w:rPr>
              <w:t>Regras de negócio</w:t>
            </w:r>
            <w:r>
              <w:rPr>
                <w:rFonts w:eastAsia="Times New Roman" w:ascii="Arial" w:hAnsi="Arial"/>
                <w:sz w:val="24"/>
                <w:szCs w:val="24"/>
              </w:rPr>
              <w:t xml:space="preserve">  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o catálogo exibe todos os produtos cadastrados no sistema.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a busca por nome retorna os produtos corretos.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o filtro por categoria exibe somente os produtos daquela categoria.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bookmarkStart w:id="0" w:name="Bookmark"/>
            <w:bookmarkEnd w:id="0"/>
            <w:r>
              <w:rPr>
                <w:rFonts w:ascii="Arial" w:hAnsi="Arial"/>
                <w:sz w:val="24"/>
                <w:szCs w:val="24"/>
              </w:rPr>
              <w:t>RN04: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ao clicar em um produto, abre a página com detalhes dele. </w:t>
            </w:r>
          </w:p>
          <w:p>
            <w:pPr>
              <w:pStyle w:val="NormalWeb"/>
              <w:widowControl w:val="false"/>
              <w:spacing w:before="28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Ttulo3Char">
    <w:name w:val="Título 3 Ch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Msonormal">
    <w:name w:val="msonormal"/>
    <w:basedOn w:val="Normal"/>
    <w:qFormat/>
    <w:pPr>
      <w:spacing w:before="280" w:after="280"/>
    </w:pPr>
    <w:rPr/>
  </w:style>
  <w:style w:type="paragraph" w:styleId="Tableborder">
    <w:name w:val="tableborder"/>
    <w:basedOn w:val="Normal"/>
    <w:qFormat/>
    <w:pPr>
      <w:shd w:val="clear" w:fill="FFFFFF"/>
      <w:spacing w:before="280" w:after="280"/>
    </w:pPr>
    <w:rPr/>
  </w:style>
  <w:style w:type="paragraph" w:styleId="Grid">
    <w:name w:val="grid"/>
    <w:basedOn w:val="Normal"/>
    <w:qFormat/>
    <w:pPr>
      <w:shd w:val="clear" w:fill="FFFFFF"/>
      <w:spacing w:before="280" w:after="280"/>
    </w:pPr>
    <w:rPr/>
  </w:style>
  <w:style w:type="paragraph" w:styleId="Tablabel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280" w:after="280"/>
    </w:pPr>
    <w:rPr>
      <w:b/>
      <w:bCs/>
    </w:rPr>
  </w:style>
  <w:style w:type="paragraph" w:styleId="Subtext">
    <w:name w:val="subtext"/>
    <w:basedOn w:val="Normal"/>
    <w:qFormat/>
    <w:pPr>
      <w:spacing w:before="280" w:after="280"/>
    </w:pPr>
    <w:rPr/>
  </w:style>
  <w:style w:type="paragraph" w:styleId="Nopadding">
    <w:name w:val="nopadding"/>
    <w:basedOn w:val="Normal"/>
    <w:qFormat/>
    <w:pPr>
      <w:spacing w:before="280" w:after="280"/>
    </w:pPr>
    <w:rPr/>
  </w:style>
  <w:style w:type="paragraph" w:styleId="Subtext1">
    <w:name w:val="subtext1"/>
    <w:basedOn w:val="Normal"/>
    <w:qFormat/>
    <w:pPr>
      <w:spacing w:before="280" w:after="280"/>
    </w:pPr>
    <w:rPr>
      <w:sz w:val="14"/>
      <w:szCs w:val="1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LibreOffice/7.1.5.2$Windows_X86_64 LibreOffice_project/85f04e9f809797b8199d13c421bd8a2b025d52b5</Application>
  <AppVersion>15.0000</AppVersion>
  <Pages>1</Pages>
  <Words>84</Words>
  <Characters>452</Characters>
  <CharactersWithSpaces>532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2025-08-14T15:16:57Z</dcterms:modified>
  <cp:revision>47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